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91" w:rsidRDefault="00EC6C91">
      <w:pPr>
        <w:pStyle w:val="Standard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A45375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Схема теплоснабжения</w:t>
      </w:r>
    </w:p>
    <w:p w:rsidR="00EC6C91" w:rsidRDefault="00A45375">
      <w:pPr>
        <w:pStyle w:val="Standard"/>
        <w:jc w:val="center"/>
      </w:pPr>
      <w:r>
        <w:rPr>
          <w:b/>
          <w:sz w:val="56"/>
          <w:szCs w:val="56"/>
        </w:rPr>
        <w:t xml:space="preserve">Чернопенского сельского поселения Костромского муниципального района </w:t>
      </w:r>
      <w:r>
        <w:rPr>
          <w:b/>
          <w:color w:val="212121"/>
          <w:spacing w:val="4"/>
          <w:sz w:val="56"/>
          <w:szCs w:val="56"/>
        </w:rPr>
        <w:t>Костромской области</w:t>
      </w:r>
    </w:p>
    <w:p w:rsidR="00EC6C91" w:rsidRDefault="00A45375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период с 2014 до 2028 года</w:t>
      </w:r>
    </w:p>
    <w:p w:rsidR="00EC6C91" w:rsidRDefault="00EC6C91">
      <w:pPr>
        <w:pStyle w:val="Standard"/>
        <w:jc w:val="center"/>
      </w:pPr>
    </w:p>
    <w:p w:rsidR="00EC6C91" w:rsidRDefault="00A4537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Книга 2. Утверждаемая </w:t>
      </w:r>
      <w:r>
        <w:rPr>
          <w:b/>
          <w:sz w:val="32"/>
          <w:szCs w:val="32"/>
        </w:rPr>
        <w:t>часть схемы теплоснабжения</w:t>
      </w: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ind w:firstLine="567"/>
        <w:rPr>
          <w:sz w:val="28"/>
          <w:szCs w:val="28"/>
        </w:rPr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  <w:jc w:val="center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A4537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2017год</w:t>
      </w:r>
    </w:p>
    <w:p w:rsidR="00EC6C91" w:rsidRDefault="00EC6C91">
      <w:pPr>
        <w:pStyle w:val="Standard"/>
        <w:spacing w:after="120"/>
        <w:jc w:val="center"/>
      </w:pPr>
    </w:p>
    <w:p w:rsidR="00EC6C91" w:rsidRDefault="00EC6C91">
      <w:pPr>
        <w:pStyle w:val="Standard"/>
        <w:spacing w:after="120"/>
        <w:jc w:val="center"/>
      </w:pPr>
    </w:p>
    <w:p w:rsidR="00EC6C91" w:rsidRDefault="00EC6C91">
      <w:pPr>
        <w:pStyle w:val="Standard"/>
        <w:spacing w:after="120"/>
        <w:jc w:val="center"/>
      </w:pPr>
    </w:p>
    <w:p w:rsidR="00EC6C91" w:rsidRDefault="00A45375">
      <w:pPr>
        <w:pStyle w:val="Standard"/>
        <w:spacing w:after="120"/>
        <w:jc w:val="center"/>
      </w:pPr>
      <w:r>
        <w:lastRenderedPageBreak/>
        <w:t>Содержание</w:t>
      </w: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01"/>
        <w:gridCol w:w="8646"/>
        <w:gridCol w:w="482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Аннотация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Показатели перспективного спроса на тепловую энергию (мощность) и теплоноситель в установленных границах территории  поселения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Площадь строительных фондов и </w:t>
            </w:r>
            <w:r>
              <w:rPr>
                <w:szCs w:val="24"/>
              </w:rPr>
              <w:t>приросты площади строительных фондов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Объемы потребления тепловой энергии (мощности), теплоносителя и приросты потребления тепловой энергии (мощности), теплоносителя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Перспективные балансы располагаемой тепловой мощности источников тепловой </w:t>
            </w:r>
            <w:r>
              <w:rPr>
                <w:szCs w:val="24"/>
              </w:rPr>
              <w:t>энергии и тепловой нагрузки потребителей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Радиус эффективного теплоснабжения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Перспективные балансы тепловой мощности и тепловой нагрузки в зонах действия источников тепловой энергии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Перспективный баланс теплоносителя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ind w:right="-39"/>
              <w:jc w:val="right"/>
              <w:rPr>
                <w:szCs w:val="24"/>
              </w:rPr>
            </w:pP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Предложения по строительству и реконструкции котельных на базе существующих и перспективных тепловых нагрузок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Инвестиции в строительство, </w:t>
            </w:r>
            <w:r>
              <w:rPr>
                <w:szCs w:val="24"/>
              </w:rPr>
              <w:t>реконструкцию и техническое перевооружение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Решение об определении единой теплоснабжающей организации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ind w:right="-39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EC6C91">
            <w:pPr>
              <w:pStyle w:val="Standard"/>
              <w:rPr>
                <w:szCs w:val="24"/>
              </w:rPr>
            </w:pPr>
          </w:p>
        </w:tc>
        <w:tc>
          <w:tcPr>
            <w:tcW w:w="864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Решение по бесхозяйным тепловым сетям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</w:pPr>
    </w:p>
    <w:p w:rsidR="00EC6C91" w:rsidRDefault="00EC6C91">
      <w:pPr>
        <w:pStyle w:val="Standard"/>
        <w:suppressAutoHyphens w:val="0"/>
      </w:pPr>
    </w:p>
    <w:p w:rsidR="00EC6C91" w:rsidRDefault="00A45375">
      <w:pPr>
        <w:pStyle w:val="Standard"/>
        <w:pageBreakBefore/>
        <w:spacing w:after="120"/>
        <w:ind w:firstLine="567"/>
        <w:jc w:val="center"/>
        <w:rPr>
          <w:b/>
        </w:rPr>
      </w:pPr>
      <w:r>
        <w:rPr>
          <w:b/>
        </w:rPr>
        <w:lastRenderedPageBreak/>
        <w:t>Аннотация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 xml:space="preserve">Утверждаемая часть схемы теплоснабжения Чернопенского сельского поселения Костромского муниципального района Костромской области разработана на основе обосновывающих материалов (см. книгу 1).Разработка утверждаемой части схемы теплоснабжения Чернопенского </w:t>
      </w:r>
      <w:r>
        <w:rPr>
          <w:szCs w:val="24"/>
        </w:rPr>
        <w:t>сельского поселения осуществлялась согласно Договору №181 от 26.12.2013 года между Администрацией Чернопенского сельского поселения Костромской области (Заказчик) и энергоаудиторской компанией ООО «МК «ЭНЕРГОСЕРВИС» (Исполнитель). При разработке схемы тепл</w:t>
      </w:r>
      <w:r>
        <w:rPr>
          <w:szCs w:val="24"/>
        </w:rPr>
        <w:t>оснабжения Исполнитель руководствовался, прежде всего федеральным законодательством в области теплоснабжения, энергосбережения и повышения энергетической эффективности: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от 27 июля 2010 года № 190-ФЗ «О теплоснабжении»;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от 23.11.2009г. № 261-ФЗ «Об энер</w:t>
      </w:r>
      <w:r>
        <w:rPr>
          <w:szCs w:val="24"/>
        </w:rPr>
        <w:t>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C6C91" w:rsidRDefault="00A4537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22 февраля 2012 г. № 154 «О требованиях к схемам теплоснабжения, по</w:t>
      </w:r>
      <w:r>
        <w:rPr>
          <w:rFonts w:ascii="Times New Roman" w:hAnsi="Times New Roman" w:cs="Times New Roman"/>
          <w:sz w:val="24"/>
          <w:szCs w:val="24"/>
        </w:rPr>
        <w:t>рядку разработки и утверждения».</w:t>
      </w:r>
    </w:p>
    <w:p w:rsidR="00EC6C91" w:rsidRDefault="00A4537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отдельных разделов документа использовались и другие руководящие документы и справочная литература. Полный список использованной литературы приведен в конце книги1. Для разработки схемы теплоснабжения Генерал</w:t>
      </w:r>
      <w:r>
        <w:rPr>
          <w:rFonts w:ascii="Times New Roman" w:hAnsi="Times New Roman" w:cs="Times New Roman"/>
          <w:sz w:val="24"/>
          <w:szCs w:val="24"/>
        </w:rPr>
        <w:t>ьный Подрядчик использовал градостроительный план и произвел сбор информации: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о населенном пункте и перспективах его развития;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о теплоснабжающих организациях, их оборудовании, тепловых сетях, производственно-экономических показателях;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о нормативах те</w:t>
      </w:r>
      <w:r>
        <w:rPr>
          <w:szCs w:val="24"/>
        </w:rPr>
        <w:t>плоснабжения, тарифах на тепловую энергию.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Поскольку требованиями к схемам теплоснабжения для населенных пунктов с численностью населения до 10 тыс. чел. обязательный перечень тем и разделов не определен, в данном проекте рассмотрены только те вопросы и пр</w:t>
      </w:r>
      <w:r>
        <w:rPr>
          <w:szCs w:val="24"/>
        </w:rPr>
        <w:t>облемы, которые имеют место в Чернопенском сельском поселении. В схеме теплоснабжения не рассмотрены не присущие для Чернопенского сельского поселения вопросы: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потребление тепловой энергии (мощности) и теплоносителя объектами, расположенными в производст</w:t>
      </w:r>
      <w:r>
        <w:rPr>
          <w:szCs w:val="24"/>
        </w:rPr>
        <w:t>венных зонах;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графики совместной работы источников тепловой э</w:t>
      </w:r>
      <w:r>
        <w:rPr>
          <w:szCs w:val="24"/>
        </w:rPr>
        <w:t>нергии, функционирующих в режиме комбинированной выработки электрической и тепловой энергии;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меры по переоборудованию котельных в источники комбинированной выработки электрической и тепловой энергии для каждого этапа;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 xml:space="preserve">- меры по переводу котельных, </w:t>
      </w:r>
      <w:r>
        <w:rPr>
          <w:szCs w:val="24"/>
        </w:rPr>
        <w:t>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решения о загрузке источников тепловой энергии, распреде</w:t>
      </w:r>
      <w:r>
        <w:rPr>
          <w:szCs w:val="24"/>
        </w:rPr>
        <w:t>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EC6C91" w:rsidRDefault="00A4537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по ст</w:t>
      </w:r>
      <w:r>
        <w:rPr>
          <w:rFonts w:ascii="Times New Roman" w:hAnsi="Times New Roman" w:cs="Times New Roman"/>
          <w:sz w:val="24"/>
          <w:szCs w:val="24"/>
        </w:rPr>
        <w:t>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</w:t>
      </w:r>
      <w:r>
        <w:rPr>
          <w:rFonts w:ascii="Times New Roman" w:hAnsi="Times New Roman" w:cs="Times New Roman"/>
          <w:sz w:val="24"/>
          <w:szCs w:val="24"/>
        </w:rPr>
        <w:t>ользование существующих резервов);</w:t>
      </w:r>
    </w:p>
    <w:p w:rsidR="00EC6C91" w:rsidRDefault="00A45375">
      <w:pPr>
        <w:pStyle w:val="Standard"/>
        <w:ind w:firstLine="480"/>
        <w:jc w:val="both"/>
        <w:rPr>
          <w:szCs w:val="24"/>
        </w:rPr>
      </w:pPr>
      <w:r>
        <w:rPr>
          <w:szCs w:val="24"/>
        </w:rPr>
        <w:t>-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</w:t>
      </w:r>
      <w:r>
        <w:rPr>
          <w:szCs w:val="24"/>
        </w:rPr>
        <w:t>тройку.</w:t>
      </w:r>
    </w:p>
    <w:p w:rsidR="00EC6C91" w:rsidRDefault="00A45375">
      <w:pPr>
        <w:pStyle w:val="Standard"/>
        <w:ind w:firstLine="567"/>
        <w:jc w:val="both"/>
        <w:rPr>
          <w:szCs w:val="24"/>
        </w:rPr>
      </w:pPr>
      <w:r>
        <w:rPr>
          <w:szCs w:val="24"/>
        </w:rPr>
        <w:lastRenderedPageBreak/>
        <w:t>Работы по разработке схемы теплоснабжения выполнялись службой энергоаудита ООО «МК «ЭНЕРГОСЕРВИС». Руководитель работ – начальник службы Хохлов Ю.Л.</w:t>
      </w:r>
    </w:p>
    <w:p w:rsidR="00EC6C91" w:rsidRDefault="00A45375">
      <w:pPr>
        <w:pStyle w:val="Standard"/>
        <w:spacing w:after="12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Показатели перспективного спроса на тепловую энергию (мощность) и теплоноситель в установленных г</w:t>
      </w:r>
      <w:r>
        <w:rPr>
          <w:b/>
          <w:sz w:val="28"/>
          <w:szCs w:val="28"/>
        </w:rPr>
        <w:t>раницах территории Чернопенского сельского поселения</w:t>
      </w:r>
    </w:p>
    <w:p w:rsidR="00EC6C91" w:rsidRDefault="00A45375">
      <w:pPr>
        <w:pStyle w:val="ConsPlusNormal"/>
        <w:widowControl/>
        <w:tabs>
          <w:tab w:val="left" w:pos="0"/>
        </w:tabs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Площадь строительных фондов и приросты площади строительных фондов</w:t>
      </w:r>
    </w:p>
    <w:p w:rsidR="00EC6C91" w:rsidRDefault="00A45375">
      <w:pPr>
        <w:pStyle w:val="Standard"/>
        <w:ind w:firstLine="567"/>
        <w:jc w:val="right"/>
      </w:pPr>
      <w:r>
        <w:t>Таблица 1.1.1</w:t>
      </w:r>
    </w:p>
    <w:p w:rsidR="00EC6C91" w:rsidRDefault="00A45375">
      <w:pPr>
        <w:pStyle w:val="Standard"/>
        <w:spacing w:after="120"/>
        <w:ind w:firstLine="708"/>
        <w:jc w:val="center"/>
      </w:pPr>
      <w:r>
        <w:t>Площадь жилого фонда</w:t>
      </w:r>
    </w:p>
    <w:tbl>
      <w:tblPr>
        <w:tblW w:w="100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3019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Наименование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Общая площадь жилого фонда,тыс.м</w:t>
            </w:r>
            <w:r>
              <w:rPr>
                <w:vertAlign w:val="superscript"/>
              </w:rPr>
              <w:t>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</w:pPr>
            <w:r>
              <w:t>Существующий жилой фонд, всего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25,425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widowControl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 </w:t>
            </w:r>
            <w:r>
              <w:rPr>
                <w:rFonts w:cs="Arial"/>
                <w:bCs/>
              </w:rPr>
              <w:t>окончании 1 очереди строительства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50,250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 окончании расчетного срока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153,16</w:t>
            </w:r>
          </w:p>
        </w:tc>
      </w:tr>
    </w:tbl>
    <w:p w:rsidR="00EC6C91" w:rsidRDefault="00EC6C91">
      <w:pPr>
        <w:pStyle w:val="Standard"/>
        <w:ind w:firstLine="567"/>
        <w:jc w:val="both"/>
        <w:rPr>
          <w:shd w:val="clear" w:color="auto" w:fill="FFFF00"/>
        </w:rPr>
      </w:pPr>
    </w:p>
    <w:p w:rsidR="00EC6C91" w:rsidRDefault="00A45375">
      <w:pPr>
        <w:pStyle w:val="Standard"/>
        <w:ind w:firstLine="567"/>
        <w:jc w:val="both"/>
      </w:pPr>
      <w:r>
        <w:rPr>
          <w:szCs w:val="24"/>
        </w:rPr>
        <w:t xml:space="preserve">Всё новое строительство планируется в усадебных одноквартирных жилых домах, которые будут иметь индивидуальное, преимущественно газовое отопление. </w:t>
      </w:r>
      <w:r>
        <w:rPr>
          <w:bCs/>
          <w:szCs w:val="24"/>
        </w:rPr>
        <w:t xml:space="preserve">Площадь квартир в домах с </w:t>
      </w:r>
      <w:r>
        <w:rPr>
          <w:bCs/>
          <w:szCs w:val="24"/>
        </w:rPr>
        <w:t xml:space="preserve">индивидуальным теплоснабжением составляет </w:t>
      </w:r>
      <w:r>
        <w:rPr>
          <w:szCs w:val="24"/>
        </w:rPr>
        <w:t>24425</w:t>
      </w:r>
      <w:r>
        <w:rPr>
          <w:bCs/>
          <w:szCs w:val="24"/>
        </w:rPr>
        <w:t xml:space="preserve"> 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. Прирост этой площади планируется в объеме 2475 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/год. </w:t>
      </w:r>
      <w:r>
        <w:rPr>
          <w:szCs w:val="24"/>
        </w:rPr>
        <w:t>К 2028 году площадь индивидуального жилого фонда составит 145,07 тыс. м</w:t>
      </w:r>
      <w:r>
        <w:rPr>
          <w:szCs w:val="24"/>
          <w:vertAlign w:val="superscript"/>
        </w:rPr>
        <w:t>2</w:t>
      </w:r>
      <w:r>
        <w:rPr>
          <w:szCs w:val="24"/>
        </w:rPr>
        <w:t>. Средняя жилая обеспеченность составляет 36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общей площади на человека.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Объемы потребления тепловой энергии (мощности), теплоносителя и приросты потребления тепловой энергии (мощности), теплоносителя</w:t>
      </w:r>
    </w:p>
    <w:p w:rsidR="00EC6C91" w:rsidRDefault="00A45375">
      <w:pPr>
        <w:pStyle w:val="ConsPlusNormal"/>
        <w:widowControl/>
        <w:tabs>
          <w:tab w:val="left" w:pos="0"/>
        </w:tabs>
        <w:spacing w:before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1.2.1</w:t>
      </w: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Технико-экономические показатели теплоснабжающих организаций за 2013 год, Гкал/год</w:t>
      </w:r>
    </w:p>
    <w:tbl>
      <w:tblPr>
        <w:tblW w:w="100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1157"/>
        <w:gridCol w:w="1915"/>
        <w:gridCol w:w="1339"/>
        <w:gridCol w:w="1863"/>
        <w:gridCol w:w="1195"/>
      </w:tblGrid>
      <w:tr w:rsidR="00EC6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СН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теплоэнергии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потери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МУП «Коммунсервис» котельная</w:t>
            </w:r>
          </w:p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Сухоногово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12845,385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290,306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12555,08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2274,48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62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A45375"/>
        </w:tc>
        <w:tc>
          <w:tcPr>
            <w:tcW w:w="11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14423,100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325,97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14097,09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2554,39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12845,385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290,306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12555,08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2274,48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62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1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14423,100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325,97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14097,09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2554,39</w:t>
            </w:r>
          </w:p>
        </w:tc>
      </w:tr>
    </w:tbl>
    <w:p w:rsidR="00EC6C91" w:rsidRDefault="00A45375">
      <w:pPr>
        <w:pStyle w:val="Standard"/>
        <w:spacing w:before="120"/>
        <w:ind w:firstLine="567"/>
        <w:jc w:val="both"/>
      </w:pPr>
      <w:r>
        <w:rPr>
          <w:szCs w:val="24"/>
        </w:rPr>
        <w:t xml:space="preserve">Всё новое строительство планируется в усадебных одноквартирных жилых домах, которые будут иметь индивидуальное отопление. </w:t>
      </w:r>
      <w:r>
        <w:rPr>
          <w:bCs/>
          <w:szCs w:val="24"/>
        </w:rPr>
        <w:t>Для одноэтажных жилых домов с отапливаемой площадью 100 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 нормативный расход тепловой энергии на отопление составляет 120 кДж/(м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*</w:t>
      </w:r>
      <w:r>
        <w:rPr>
          <w:bCs/>
          <w:szCs w:val="24"/>
          <w:vertAlign w:val="superscript"/>
        </w:rPr>
        <w:t>о</w:t>
      </w:r>
      <w:r>
        <w:rPr>
          <w:bCs/>
          <w:szCs w:val="24"/>
        </w:rPr>
        <w:t>С*сут.) или 186,3 кВт*ч/м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 (</w:t>
      </w:r>
      <w:r>
        <w:rPr>
          <w:szCs w:val="24"/>
        </w:rPr>
        <w:t>1кДж=0,278Вт*ч).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всего прироста площадей индивидуальной застройки увеличение потребления тепловой энергии на отопление будет составлять:</w:t>
      </w:r>
    </w:p>
    <w:p w:rsidR="00EC6C91" w:rsidRDefault="00A45375">
      <w:pPr>
        <w:pStyle w:val="Standard"/>
        <w:jc w:val="both"/>
      </w:pPr>
      <w:r>
        <w:rPr>
          <w:szCs w:val="24"/>
          <w:lang w:val="en-US"/>
        </w:rPr>
        <w:t>ΔQ</w:t>
      </w:r>
      <w:r>
        <w:rPr>
          <w:szCs w:val="24"/>
          <w:vertAlign w:val="subscript"/>
        </w:rPr>
        <w:t xml:space="preserve">инд.от. </w:t>
      </w:r>
      <w:r>
        <w:rPr>
          <w:szCs w:val="24"/>
        </w:rPr>
        <w:t xml:space="preserve">= </w:t>
      </w:r>
      <w:r>
        <w:rPr>
          <w:szCs w:val="24"/>
        </w:rPr>
        <w:t>186,3*</w:t>
      </w:r>
      <w:r>
        <w:rPr>
          <w:bCs/>
          <w:szCs w:val="24"/>
        </w:rPr>
        <w:t>6048</w:t>
      </w:r>
      <w:r>
        <w:rPr>
          <w:szCs w:val="24"/>
        </w:rPr>
        <w:t xml:space="preserve"> = </w:t>
      </w:r>
      <w:r>
        <w:rPr>
          <w:rFonts w:eastAsia="Times New Roman"/>
          <w:szCs w:val="24"/>
          <w:lang w:eastAsia="ru-RU"/>
        </w:rPr>
        <w:t>1126742</w:t>
      </w:r>
      <w:r>
        <w:rPr>
          <w:szCs w:val="24"/>
        </w:rPr>
        <w:t>кВт*ч/год =</w:t>
      </w:r>
      <w:r>
        <w:rPr>
          <w:rFonts w:eastAsia="Times New Roman"/>
          <w:szCs w:val="24"/>
          <w:lang w:eastAsia="ru-RU"/>
        </w:rPr>
        <w:t>1126,742</w:t>
      </w:r>
      <w:r>
        <w:rPr>
          <w:szCs w:val="24"/>
        </w:rPr>
        <w:t>МВт*ч/год= 968,9Гкал/год до 2015 года.</w:t>
      </w:r>
    </w:p>
    <w:p w:rsidR="00EC6C91" w:rsidRDefault="00A45375">
      <w:pPr>
        <w:pStyle w:val="Standard"/>
        <w:jc w:val="both"/>
      </w:pPr>
      <w:r>
        <w:rPr>
          <w:szCs w:val="24"/>
          <w:lang w:val="en-US"/>
        </w:rPr>
        <w:t>ΔQ</w:t>
      </w:r>
      <w:r>
        <w:rPr>
          <w:szCs w:val="24"/>
          <w:vertAlign w:val="subscript"/>
        </w:rPr>
        <w:t xml:space="preserve">инд.от. </w:t>
      </w:r>
      <w:r>
        <w:rPr>
          <w:szCs w:val="24"/>
        </w:rPr>
        <w:t>= 186,3*</w:t>
      </w:r>
      <w:r>
        <w:rPr>
          <w:bCs/>
          <w:szCs w:val="24"/>
        </w:rPr>
        <w:t>8194</w:t>
      </w:r>
      <w:r>
        <w:rPr>
          <w:szCs w:val="24"/>
        </w:rPr>
        <w:t xml:space="preserve"> = </w:t>
      </w:r>
      <w:r>
        <w:rPr>
          <w:rFonts w:eastAsia="Times New Roman"/>
          <w:szCs w:val="24"/>
          <w:lang w:eastAsia="ru-RU"/>
        </w:rPr>
        <w:t>1526542</w:t>
      </w:r>
      <w:r>
        <w:rPr>
          <w:szCs w:val="24"/>
        </w:rPr>
        <w:t>кВт*ч/год =</w:t>
      </w:r>
      <w:r>
        <w:rPr>
          <w:rFonts w:eastAsia="Times New Roman"/>
          <w:szCs w:val="24"/>
          <w:lang w:eastAsia="ru-RU"/>
        </w:rPr>
        <w:t>1526,542</w:t>
      </w:r>
      <w:r>
        <w:rPr>
          <w:szCs w:val="24"/>
        </w:rPr>
        <w:t>МВт*ч/год= 1312,8Гкал/год до 2030 года.</w:t>
      </w:r>
    </w:p>
    <w:p w:rsidR="00EC6C91" w:rsidRDefault="00EC6C91">
      <w:pPr>
        <w:pStyle w:val="Standard"/>
        <w:jc w:val="both"/>
        <w:rPr>
          <w:rFonts w:eastAsia="Times New Roman"/>
          <w:szCs w:val="24"/>
          <w:lang w:eastAsia="ru-RU"/>
        </w:rPr>
      </w:pP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среднечасовой тепловой нагрузки на отопление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</w:t>
      </w:r>
      <w:r>
        <w:rPr>
          <w:rFonts w:ascii="Times New Roman" w:hAnsi="Times New Roman" w:cs="Times New Roman"/>
          <w:sz w:val="24"/>
          <w:szCs w:val="24"/>
        </w:rPr>
        <w:t xml:space="preserve"> = 968,9/5328</w:t>
      </w:r>
      <w:r>
        <w:rPr>
          <w:rFonts w:ascii="Times New Roman" w:hAnsi="Times New Roman" w:cs="Times New Roman"/>
          <w:sz w:val="24"/>
          <w:szCs w:val="24"/>
        </w:rPr>
        <w:t>=0,182Гкал/ч; до 2015года.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</w:t>
      </w:r>
      <w:r>
        <w:rPr>
          <w:rFonts w:ascii="Times New Roman" w:hAnsi="Times New Roman" w:cs="Times New Roman"/>
          <w:sz w:val="24"/>
          <w:szCs w:val="24"/>
        </w:rPr>
        <w:t xml:space="preserve"> = 1312,8/5328=0,2464Гкал/ч;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расчетной (максимальной) тепловой нагрузки на отопление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</w:t>
      </w:r>
      <w:r>
        <w:rPr>
          <w:rFonts w:ascii="Times New Roman" w:hAnsi="Times New Roman" w:cs="Times New Roman"/>
          <w:sz w:val="24"/>
          <w:szCs w:val="24"/>
        </w:rPr>
        <w:t xml:space="preserve"> = 0,182*(19+31)/(19+3,9) = 0,3974 Гкал/ч; до 2015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</w:t>
      </w:r>
      <w:r>
        <w:rPr>
          <w:rFonts w:ascii="Times New Roman" w:hAnsi="Times New Roman" w:cs="Times New Roman"/>
          <w:sz w:val="24"/>
          <w:szCs w:val="24"/>
        </w:rPr>
        <w:t xml:space="preserve"> = 0,2464*(19+31)/(19+3,9) = 0,538 Гкал/ч;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При средней обеспеченности жилой площадью 25,5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/чел. к 2015 году увеличение числа жителей в индивидуальных домах составит: </w:t>
      </w:r>
      <w:r>
        <w:rPr>
          <w:rFonts w:ascii="Times New Roman" w:hAnsi="Times New Roman" w:cs="Times New Roman"/>
          <w:bCs/>
          <w:sz w:val="24"/>
          <w:szCs w:val="24"/>
        </w:rPr>
        <w:t>6048</w:t>
      </w:r>
      <w:r>
        <w:rPr>
          <w:rFonts w:ascii="Times New Roman" w:hAnsi="Times New Roman" w:cs="Times New Roman"/>
          <w:sz w:val="24"/>
          <w:szCs w:val="24"/>
        </w:rPr>
        <w:t>/25</w:t>
      </w:r>
      <w:r>
        <w:rPr>
          <w:rFonts w:ascii="Times New Roman" w:hAnsi="Times New Roman" w:cs="Times New Roman"/>
          <w:sz w:val="24"/>
          <w:szCs w:val="24"/>
        </w:rPr>
        <w:t>,5 = 237 чел./год.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При средней обеспеченности жилой площадью 36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/чел. к 2030 году увеличение числа жителей в индивидуальных домах составит: </w:t>
      </w:r>
      <w:r>
        <w:rPr>
          <w:rFonts w:ascii="Times New Roman" w:hAnsi="Times New Roman" w:cs="Times New Roman"/>
          <w:bCs/>
          <w:sz w:val="24"/>
          <w:szCs w:val="24"/>
        </w:rPr>
        <w:t>8194</w:t>
      </w:r>
      <w:r>
        <w:rPr>
          <w:rFonts w:ascii="Times New Roman" w:hAnsi="Times New Roman" w:cs="Times New Roman"/>
          <w:sz w:val="24"/>
          <w:szCs w:val="24"/>
        </w:rPr>
        <w:t>/36 = 227 чел./год.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потребления горячей воды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ΔV</w:t>
      </w:r>
      <w:r>
        <w:rPr>
          <w:rFonts w:ascii="Times New Roman" w:hAnsi="Times New Roman" w:cs="Times New Roman"/>
          <w:sz w:val="24"/>
          <w:szCs w:val="24"/>
        </w:rPr>
        <w:t>г. = 105*237=24885 л/сут. = 24,885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/сут.</w:t>
      </w:r>
      <w:r>
        <w:rPr>
          <w:rFonts w:ascii="Times New Roman" w:hAnsi="Times New Roman" w:cs="Times New Roman"/>
          <w:sz w:val="24"/>
          <w:szCs w:val="24"/>
        </w:rPr>
        <w:t xml:space="preserve"> = 9083м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/год, до 2015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ΔV</w:t>
      </w:r>
      <w:r>
        <w:rPr>
          <w:rFonts w:ascii="Times New Roman" w:hAnsi="Times New Roman" w:cs="Times New Roman"/>
          <w:sz w:val="24"/>
          <w:szCs w:val="24"/>
        </w:rPr>
        <w:t>г. = 105*227=23835 л/сут. = 23,835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/сут. = 8699м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/год,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соответствует увеличению потребления тепловой энергии на ГВС на величину: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>
        <w:rPr>
          <w:rFonts w:ascii="Times New Roman" w:hAnsi="Times New Roman" w:cs="Times New Roman"/>
          <w:sz w:val="24"/>
          <w:szCs w:val="24"/>
        </w:rPr>
        <w:t>= 9083*0,05 = 454Гкал/год. до 2015года.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>
        <w:rPr>
          <w:rFonts w:ascii="Times New Roman" w:hAnsi="Times New Roman" w:cs="Times New Roman"/>
          <w:sz w:val="24"/>
          <w:szCs w:val="24"/>
        </w:rPr>
        <w:t>= 8699*0,05 = 435Гкал/год.</w:t>
      </w:r>
      <w:r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нагрузка на ГВС в час наибольшего водопотребления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0гвс</w:t>
      </w:r>
      <w:r>
        <w:rPr>
          <w:rFonts w:ascii="Times New Roman" w:hAnsi="Times New Roman" w:cs="Times New Roman"/>
          <w:sz w:val="24"/>
          <w:szCs w:val="24"/>
        </w:rPr>
        <w:t xml:space="preserve"> = 10*237*0,05/1000 = 0,1185Гкал/ч до 2015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0гвс</w:t>
      </w:r>
      <w:r>
        <w:rPr>
          <w:rFonts w:ascii="Times New Roman" w:hAnsi="Times New Roman" w:cs="Times New Roman"/>
          <w:sz w:val="24"/>
          <w:szCs w:val="24"/>
        </w:rPr>
        <w:t xml:space="preserve"> = 10*227*0,05/1000 = 0,1135Гкал/ч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прирост расчетной (максимальной) тепловой нагрузки н</w:t>
      </w:r>
      <w:r>
        <w:rPr>
          <w:rFonts w:ascii="Times New Roman" w:hAnsi="Times New Roman" w:cs="Times New Roman"/>
          <w:sz w:val="24"/>
          <w:szCs w:val="24"/>
        </w:rPr>
        <w:t>а отопление и ГВС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0инд.от.+ГВС</w:t>
      </w:r>
      <w:r>
        <w:rPr>
          <w:rFonts w:ascii="Times New Roman" w:hAnsi="Times New Roman" w:cs="Times New Roman"/>
          <w:sz w:val="24"/>
          <w:szCs w:val="24"/>
        </w:rPr>
        <w:t xml:space="preserve"> = 0,3974 +0,1185= 0,5159Гкал/ч до 2015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0инд.от.+ГВС</w:t>
      </w:r>
      <w:r>
        <w:rPr>
          <w:rFonts w:ascii="Times New Roman" w:hAnsi="Times New Roman" w:cs="Times New Roman"/>
          <w:sz w:val="24"/>
          <w:szCs w:val="24"/>
        </w:rPr>
        <w:t xml:space="preserve"> = 0,538 +0,1135= 0,6515Гкал/ч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абсолютном выражении прирост потребления тепловой энергии составит: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инд.от.+ГВС</w:t>
      </w:r>
      <w:r>
        <w:rPr>
          <w:rFonts w:ascii="Times New Roman" w:hAnsi="Times New Roman" w:cs="Times New Roman"/>
          <w:sz w:val="24"/>
          <w:szCs w:val="24"/>
        </w:rPr>
        <w:t xml:space="preserve"> = 968,9+454= 1422,9 Гкал/год до 2015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</w:pPr>
      <w:r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инд.от.+ГВС</w:t>
      </w:r>
      <w:r>
        <w:rPr>
          <w:rFonts w:ascii="Times New Roman" w:hAnsi="Times New Roman" w:cs="Times New Roman"/>
          <w:sz w:val="24"/>
          <w:szCs w:val="24"/>
        </w:rPr>
        <w:t xml:space="preserve"> = 1312,8+435= 1747,8 Гкал/год до 2030 года.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Существующее потребление тепловой энергии на отопление имеющегося индивидуального жилого фонда составляет:</w:t>
      </w:r>
    </w:p>
    <w:p w:rsidR="00EC6C91" w:rsidRDefault="00A45375">
      <w:pPr>
        <w:pStyle w:val="Standard"/>
      </w:pPr>
      <w:r>
        <w:rPr>
          <w:szCs w:val="24"/>
          <w:lang w:val="en-US"/>
        </w:rPr>
        <w:t>Q</w:t>
      </w:r>
      <w:r>
        <w:rPr>
          <w:szCs w:val="24"/>
          <w:vertAlign w:val="subscript"/>
        </w:rPr>
        <w:t>инд.от.</w:t>
      </w:r>
      <w:r>
        <w:rPr>
          <w:szCs w:val="24"/>
        </w:rPr>
        <w:t xml:space="preserve"> = </w:t>
      </w:r>
      <w:r>
        <w:rPr>
          <w:bCs/>
          <w:szCs w:val="24"/>
        </w:rPr>
        <w:t>186,3*</w:t>
      </w:r>
      <w:r>
        <w:rPr>
          <w:szCs w:val="24"/>
        </w:rPr>
        <w:t xml:space="preserve">20408,5= </w:t>
      </w:r>
      <w:r>
        <w:rPr>
          <w:rFonts w:eastAsia="Times New Roman"/>
          <w:szCs w:val="24"/>
          <w:lang w:eastAsia="ru-RU"/>
        </w:rPr>
        <w:t>3802104</w:t>
      </w:r>
      <w:r>
        <w:rPr>
          <w:szCs w:val="24"/>
        </w:rPr>
        <w:t>кВт*ч/год = 38</w:t>
      </w:r>
      <w:r>
        <w:rPr>
          <w:szCs w:val="24"/>
        </w:rPr>
        <w:t xml:space="preserve">02,104 МВт*ч/год = </w:t>
      </w:r>
      <w:r>
        <w:rPr>
          <w:rFonts w:eastAsia="Times New Roman"/>
          <w:szCs w:val="24"/>
          <w:lang w:eastAsia="ru-RU"/>
        </w:rPr>
        <w:t>3269,8</w:t>
      </w:r>
      <w:r>
        <w:rPr>
          <w:szCs w:val="24"/>
        </w:rPr>
        <w:t>Гкал/год</w:t>
      </w:r>
    </w:p>
    <w:p w:rsidR="00EC6C91" w:rsidRDefault="00A45375">
      <w:pPr>
        <w:pStyle w:val="ConsPlusNormal"/>
        <w:widowControl/>
        <w:tabs>
          <w:tab w:val="left" w:pos="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тепловая нагрузка на отопление имеющегося индивидуального жилого фонда составляет:</w:t>
      </w:r>
    </w:p>
    <w:p w:rsidR="00EC6C91" w:rsidRDefault="00A45375">
      <w:pPr>
        <w:pStyle w:val="Standard"/>
      </w:pPr>
      <w:r>
        <w:rPr>
          <w:szCs w:val="24"/>
          <w:lang w:val="en-US"/>
        </w:rPr>
        <w:t>Q</w:t>
      </w:r>
      <w:r>
        <w:rPr>
          <w:szCs w:val="24"/>
          <w:vertAlign w:val="subscript"/>
        </w:rPr>
        <w:t>0инд.от.</w:t>
      </w:r>
      <w:r>
        <w:rPr>
          <w:szCs w:val="24"/>
        </w:rPr>
        <w:t xml:space="preserve"> = (</w:t>
      </w:r>
      <w:r>
        <w:rPr>
          <w:rFonts w:eastAsia="Times New Roman"/>
          <w:szCs w:val="24"/>
          <w:lang w:eastAsia="ru-RU"/>
        </w:rPr>
        <w:t>3269,8</w:t>
      </w:r>
      <w:r>
        <w:rPr>
          <w:szCs w:val="24"/>
        </w:rPr>
        <w:t>/5328)*(19+31)/(19+3,9) = 1,3399 Гкал/ч.</w:t>
      </w:r>
    </w:p>
    <w:p w:rsidR="00EC6C91" w:rsidRDefault="00A45375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газовых водонагревателей горячее водоснабжение индивид</w:t>
      </w:r>
      <w:r>
        <w:rPr>
          <w:rFonts w:ascii="Times New Roman" w:hAnsi="Times New Roman" w:cs="Times New Roman"/>
          <w:sz w:val="24"/>
          <w:szCs w:val="24"/>
        </w:rPr>
        <w:t>уального жилого фонда не производится.</w:t>
      </w:r>
    </w:p>
    <w:p w:rsidR="00EC6C91" w:rsidRDefault="00A4537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всего прироста площадей индивидуальной застройки увеличение потребления тепловой энергии на отопление будет составлять 396,5 Гкал/год.</w:t>
      </w:r>
    </w:p>
    <w:p w:rsidR="00EC6C91" w:rsidRDefault="00A4537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среднечасовой тепловой нагрузки на отопление составит 0,0744 Гкал/ч.</w:t>
      </w:r>
    </w:p>
    <w:p w:rsidR="00EC6C91" w:rsidRDefault="00A4537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расчетной (максимальной) тепловой нагрузки на отопление составит 0,162 Гкал/ч.</w:t>
      </w:r>
    </w:p>
    <w:p w:rsidR="00EC6C91" w:rsidRDefault="00A45375">
      <w:pPr>
        <w:pStyle w:val="Standard"/>
        <w:ind w:firstLine="567"/>
        <w:jc w:val="both"/>
      </w:pPr>
      <w:r>
        <w:rPr>
          <w:szCs w:val="24"/>
        </w:rPr>
        <w:t>При средней обеспеченности жилой площадью 41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/чел. увеличение числа жителей в новых индивидуальных домах составит: </w:t>
      </w:r>
      <w:r>
        <w:rPr>
          <w:bCs/>
          <w:szCs w:val="24"/>
        </w:rPr>
        <w:t>2475</w:t>
      </w:r>
      <w:r>
        <w:rPr>
          <w:szCs w:val="24"/>
        </w:rPr>
        <w:t>/41 = 61 чел./год.</w:t>
      </w:r>
    </w:p>
    <w:p w:rsidR="00EC6C91" w:rsidRDefault="00A45375">
      <w:pPr>
        <w:pStyle w:val="Standard"/>
        <w:jc w:val="both"/>
        <w:rPr>
          <w:szCs w:val="24"/>
        </w:rPr>
      </w:pPr>
      <w:r>
        <w:rPr>
          <w:szCs w:val="24"/>
        </w:rPr>
        <w:t>Существующее потребление тепл</w:t>
      </w:r>
      <w:r>
        <w:rPr>
          <w:szCs w:val="24"/>
        </w:rPr>
        <w:t>овой энергии на отопление имеющегося жилого фонда составляет 3912,62 Гкал/год.</w:t>
      </w:r>
    </w:p>
    <w:p w:rsidR="00EC6C91" w:rsidRDefault="00A45375">
      <w:pPr>
        <w:pStyle w:val="Standard"/>
        <w:ind w:firstLine="567"/>
        <w:jc w:val="both"/>
        <w:rPr>
          <w:szCs w:val="24"/>
        </w:rPr>
      </w:pPr>
      <w:r>
        <w:rPr>
          <w:szCs w:val="24"/>
        </w:rPr>
        <w:t>Суммарное потребление тепловой энергии на отопление и ГВС жилого фонда составляет 5054,705 Гкал/год.</w:t>
      </w: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тепловая нагрузка на отопление потребителей, подключенных к котель</w:t>
      </w:r>
      <w:r>
        <w:rPr>
          <w:rFonts w:ascii="Times New Roman" w:hAnsi="Times New Roman" w:cs="Times New Roman"/>
          <w:sz w:val="24"/>
          <w:szCs w:val="24"/>
        </w:rPr>
        <w:t>ным, и индивидуального жилого фонда составляет 0,78 Гкал/ч.</w:t>
      </w:r>
    </w:p>
    <w:p w:rsidR="00EC6C91" w:rsidRDefault="00A4537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 тепловой энергии (мощности) и теплоносителя объектами, расположенными в производственных зонах в настоящем документе не рассматривается, так как производственной зоны в пределах посел</w:t>
      </w:r>
      <w:r>
        <w:rPr>
          <w:rFonts w:ascii="Times New Roman" w:hAnsi="Times New Roman" w:cs="Times New Roman"/>
          <w:sz w:val="24"/>
          <w:szCs w:val="24"/>
        </w:rPr>
        <w:t>ения нет.</w:t>
      </w:r>
    </w:p>
    <w:p w:rsidR="00EC6C91" w:rsidRDefault="00EC6C91">
      <w:pPr>
        <w:pStyle w:val="ConsPlusNormal"/>
        <w:widowControl/>
        <w:tabs>
          <w:tab w:val="left" w:pos="0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6C91" w:rsidRDefault="00EC6C91">
      <w:pPr>
        <w:pStyle w:val="ConsPlusNormal"/>
        <w:widowControl/>
        <w:tabs>
          <w:tab w:val="left" w:pos="0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1.2.2</w:t>
      </w: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теплоносителя в системах теплоснабжения</w:t>
      </w:r>
    </w:p>
    <w:tbl>
      <w:tblPr>
        <w:tblW w:w="10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7199"/>
        <w:gridCol w:w="2153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Показатели баланса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</w:t>
            </w:r>
          </w:p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«Коммунсервис»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Приход: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от водоподготовительных установок,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23308,76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 водопровода сырой воды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приход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23308,76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Расход: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2.1.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объем теплоносителя в теплосетях в отопительный период,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объем теплоносителя в теплосетях в неотопительный период (ГВС),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отопительный период, ч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5328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2.4.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неотопительный период, ч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2928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2.5.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 xml:space="preserve">среднегодовой объем </w:t>
            </w:r>
            <w:r>
              <w:rPr>
                <w:color w:val="000000"/>
                <w:szCs w:val="24"/>
              </w:rPr>
              <w:t>теплоносителя в теплосетях,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2.6.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расчетная тепловая нагрузка на отопление, Гкал/ч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2.7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расчетная тепловая нагрузка на ГВС, Гкал/ч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0,5090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2.8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среднегодовой объем теплоносителя в системах теплопотребления,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50,84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2.9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 xml:space="preserve">объем теплоносителя в </w:t>
            </w:r>
            <w:r>
              <w:rPr>
                <w:color w:val="000000"/>
                <w:szCs w:val="24"/>
              </w:rPr>
              <w:t>системах теплоснабжения,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154,8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2.10</w:t>
            </w:r>
          </w:p>
        </w:tc>
        <w:tc>
          <w:tcPr>
            <w:tcW w:w="719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нормативные потери теплоносителя, м</w:t>
            </w:r>
            <w:r>
              <w:rPr>
                <w:color w:val="000000"/>
                <w:szCs w:val="24"/>
                <w:vertAlign w:val="superscript"/>
              </w:rPr>
              <w:t>3</w:t>
            </w:r>
            <w:r>
              <w:rPr>
                <w:color w:val="000000"/>
                <w:szCs w:val="24"/>
              </w:rPr>
              <w:t>/год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1385,06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2.11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Нормативные затраты на подпитку теплосетей, тыс. руб./год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32,54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2.12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Затраты теплоносителя на ГВС,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21923,7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2.13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Cs w:val="24"/>
              </w:rPr>
              <w:t>Суммарные затраты теплоносителя,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23308,76</w:t>
            </w:r>
          </w:p>
        </w:tc>
      </w:tr>
    </w:tbl>
    <w:p w:rsidR="00EC6C91" w:rsidRDefault="00A45375">
      <w:pPr>
        <w:pStyle w:val="Standard"/>
        <w:spacing w:before="120"/>
        <w:ind w:firstLine="567"/>
        <w:jc w:val="both"/>
        <w:rPr>
          <w:szCs w:val="24"/>
        </w:rPr>
      </w:pPr>
      <w:r>
        <w:rPr>
          <w:szCs w:val="24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 и к окончанию пла</w:t>
      </w:r>
      <w:r>
        <w:rPr>
          <w:szCs w:val="24"/>
        </w:rPr>
        <w:t>нируемого периода.</w:t>
      </w:r>
    </w:p>
    <w:p w:rsidR="00EC6C91" w:rsidRDefault="00EC6C91">
      <w:pPr>
        <w:pStyle w:val="Standard"/>
        <w:ind w:firstLine="567"/>
        <w:jc w:val="both"/>
        <w:rPr>
          <w:szCs w:val="24"/>
        </w:rPr>
      </w:pPr>
    </w:p>
    <w:p w:rsidR="00EC6C91" w:rsidRDefault="00EC6C91">
      <w:pPr>
        <w:pStyle w:val="a6"/>
        <w:jc w:val="right"/>
        <w:sectPr w:rsidR="00EC6C91">
          <w:headerReference w:type="default" r:id="rId8"/>
          <w:pgSz w:w="11906" w:h="16838"/>
          <w:pgMar w:top="567" w:right="567" w:bottom="851" w:left="1134" w:header="720" w:footer="720" w:gutter="0"/>
          <w:cols w:space="720"/>
          <w:titlePg/>
        </w:sectPr>
      </w:pPr>
    </w:p>
    <w:p w:rsidR="00EC6C91" w:rsidRDefault="00A45375">
      <w:pPr>
        <w:pStyle w:val="Standard"/>
        <w:jc w:val="right"/>
      </w:pPr>
      <w:r>
        <w:lastRenderedPageBreak/>
        <w:t>Таблица 1.2.3</w:t>
      </w:r>
    </w:p>
    <w:p w:rsidR="00EC6C91" w:rsidRDefault="00A45375">
      <w:pPr>
        <w:pStyle w:val="Standard"/>
        <w:spacing w:after="120"/>
        <w:jc w:val="center"/>
      </w:pPr>
      <w:r>
        <w:t>Показатели перспективного потребления тепловой энергии</w:t>
      </w:r>
    </w:p>
    <w:p w:rsidR="00EC6C91" w:rsidRDefault="00EC6C91">
      <w:pPr>
        <w:pStyle w:val="Standard"/>
        <w:jc w:val="center"/>
      </w:pPr>
    </w:p>
    <w:tbl>
      <w:tblPr>
        <w:tblW w:w="15814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45"/>
        <w:gridCol w:w="844"/>
        <w:gridCol w:w="845"/>
        <w:gridCol w:w="844"/>
        <w:gridCol w:w="845"/>
        <w:gridCol w:w="844"/>
        <w:gridCol w:w="843"/>
        <w:gridCol w:w="843"/>
        <w:gridCol w:w="843"/>
        <w:gridCol w:w="843"/>
        <w:gridCol w:w="843"/>
        <w:gridCol w:w="842"/>
        <w:gridCol w:w="843"/>
        <w:gridCol w:w="843"/>
        <w:gridCol w:w="843"/>
        <w:gridCol w:w="853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2016г.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2027г.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2028г.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Площадь ожидаемого строительства, тыс.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6,048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6,048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6,048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8,194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Площадь жилых помещений в инд. домах, тыс.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ind w:left="-42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38,554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46,748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54,942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63,136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79,524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87,718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95,912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104,106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120,494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128,688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136,882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145,076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жителей в инд. домах, чел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тепловой энергии от котельных, Гкал/год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тепловой энергии на ГВС, Гкал/год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1287,9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Расчетные тепловые нагрузки на ГВС, Гкал/ч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Расчетные тепловые нагрузки на отопление и вентиляцию, Гкал/ч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Расчетные тепловые нагрузки суммарные, Гкал/ч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потребления тепловой энергии на отопление и вентиляцию, Гкал/год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1312,8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тепловой энергии на отопление и вентиляцию, Гкал/год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15137,1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16106,1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17075,1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18388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19700,8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21013,6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22326,4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23639,3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24952,1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26264,9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27577,8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28890,6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30203,4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31516,2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32829,1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34141,9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Перспективное потреб-ление тепловой энергии всего, Гкал/год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17394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19675,9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20988,7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22301,5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23614,3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24927,2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26240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27552,8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28865,7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30178,5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31491,3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32804,1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35429,8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потребителями МУП «Коммунсервис»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10898,1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инд. секторе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7489,9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8802,7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10115,5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11428,3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12741,2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14054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15366,8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16679,7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17992,5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19305,3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20618,1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23243,8</w:t>
            </w:r>
          </w:p>
        </w:tc>
      </w:tr>
    </w:tbl>
    <w:p w:rsidR="00EC6C91" w:rsidRDefault="00A45375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1.2.4</w:t>
      </w: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Перспективный баланс теплоносителя в системах теплоснабжения,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tbl>
      <w:tblPr>
        <w:tblW w:w="15512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517"/>
        <w:gridCol w:w="622"/>
        <w:gridCol w:w="963"/>
        <w:gridCol w:w="683"/>
        <w:gridCol w:w="793"/>
        <w:gridCol w:w="594"/>
        <w:gridCol w:w="861"/>
        <w:gridCol w:w="984"/>
        <w:gridCol w:w="740"/>
        <w:gridCol w:w="1077"/>
        <w:gridCol w:w="647"/>
        <w:gridCol w:w="999"/>
        <w:gridCol w:w="725"/>
        <w:gridCol w:w="861"/>
        <w:gridCol w:w="943"/>
        <w:gridCol w:w="781"/>
        <w:gridCol w:w="861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№ п/п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Показатели баланса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3" w:firstLine="7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2028г.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Приход: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1.1.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от водоподгото-вительных установок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1.2.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из водопровода сырой воды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итого приход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Расход: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 w:val="22"/>
              </w:rPr>
              <w:t>среднегодовой объем тепло-носителя в теплосетях, м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2.2.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расчетная тепловая нагрузка на отопление, Гкал/ч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2.3.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расчетная тепловая </w:t>
            </w:r>
            <w:r>
              <w:rPr>
                <w:color w:val="000000"/>
                <w:sz w:val="22"/>
              </w:rPr>
              <w:t>нагрузка на ГВС, Гкал/ч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2.4.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среднегодовой объем тепло-носителя в системах теплопотребления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2.5.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rFonts w:eastAsia="Times New Roman"/>
                <w:color w:val="000000"/>
                <w:sz w:val="22"/>
              </w:rPr>
              <w:t>объем тепло-носителя в системах теплоснабжен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ия,</w:t>
            </w:r>
            <w:r>
              <w:rPr>
                <w:color w:val="000000"/>
                <w:szCs w:val="24"/>
              </w:rPr>
              <w:t xml:space="preserve">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154,8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2.6.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rFonts w:eastAsia="Times New Roman"/>
                <w:color w:val="000000"/>
                <w:sz w:val="22"/>
              </w:rPr>
              <w:t>нормативные потери теплоноси-теля, м</w:t>
            </w:r>
            <w:r>
              <w:rPr>
                <w:rFonts w:eastAsia="Times New Roman"/>
                <w:color w:val="000000"/>
                <w:sz w:val="22"/>
                <w:vertAlign w:val="superscript"/>
              </w:rPr>
              <w:t>3</w:t>
            </w:r>
            <w:r>
              <w:rPr>
                <w:rFonts w:eastAsia="Times New Roman"/>
                <w:color w:val="000000"/>
                <w:sz w:val="22"/>
              </w:rPr>
              <w:t>/год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Нормативные затраты на подпитку теплосетей, тыс.руб./год</w:t>
            </w:r>
          </w:p>
        </w:tc>
        <w:tc>
          <w:tcPr>
            <w:tcW w:w="6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</w:tr>
    </w:tbl>
    <w:p w:rsidR="00000000" w:rsidRDefault="00A45375">
      <w:pPr>
        <w:sectPr w:rsidR="00000000">
          <w:headerReference w:type="default" r:id="rId9"/>
          <w:pgSz w:w="16838" w:h="11906" w:orient="landscape"/>
          <w:pgMar w:top="1134" w:right="567" w:bottom="737" w:left="567" w:header="567" w:footer="720" w:gutter="0"/>
          <w:cols w:space="720"/>
        </w:sectPr>
      </w:pPr>
    </w:p>
    <w:p w:rsidR="00EC6C91" w:rsidRDefault="00A4537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Перспективные балансы располагаемой тепловой мощности источников </w:t>
      </w:r>
      <w:r>
        <w:rPr>
          <w:b/>
          <w:sz w:val="28"/>
          <w:szCs w:val="28"/>
        </w:rPr>
        <w:t>тепловой энергии и тепловой нагрузки потребителей</w:t>
      </w:r>
    </w:p>
    <w:p w:rsidR="00EC6C91" w:rsidRDefault="00A45375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Радиус эффективного теплоснабжения</w:t>
      </w:r>
    </w:p>
    <w:p w:rsidR="00EC6C91" w:rsidRDefault="00A45375">
      <w:pPr>
        <w:pStyle w:val="Standard"/>
        <w:ind w:firstLine="567"/>
        <w:jc w:val="both"/>
      </w:pPr>
      <w:r>
        <w:rPr>
          <w:i/>
          <w:iCs/>
          <w:szCs w:val="24"/>
        </w:rPr>
        <w:t xml:space="preserve">Эффективный радиус теплоснабжения </w:t>
      </w:r>
      <w:r>
        <w:rPr>
          <w:rFonts w:eastAsia="PragmaticaC"/>
          <w:szCs w:val="24"/>
        </w:rPr>
        <w:t xml:space="preserve">– максимальное расстояние от теплопотребляющей установки до ближайшего источника тепловой энергии в системе теплоснабжения, при </w:t>
      </w:r>
      <w:r>
        <w:rPr>
          <w:rFonts w:eastAsia="PragmaticaC"/>
          <w:szCs w:val="24"/>
        </w:rPr>
        <w:t>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Иными словами, эффективный радиус теплоснабжения определяет условия, при которых</w:t>
      </w:r>
      <w:r>
        <w:rPr>
          <w:rFonts w:eastAsia="PragmaticaC"/>
          <w:szCs w:val="24"/>
        </w:rPr>
        <w:t xml:space="preserve"> подключение теплопотребляющих установок к системе теплоснабжения нецелесообразно по причинам роста совокупных расходов в указанной системе. Учет данного показателя позволит избежать высоких потерь в сетях, улучшит качество теплоснабжения и положительно ск</w:t>
      </w:r>
      <w:r>
        <w:rPr>
          <w:rFonts w:eastAsia="PragmaticaC"/>
          <w:szCs w:val="24"/>
        </w:rPr>
        <w:t>ажется на снижении расходов.</w:t>
      </w:r>
    </w:p>
    <w:p w:rsidR="00EC6C91" w:rsidRDefault="00A45375">
      <w:pPr>
        <w:pStyle w:val="Standard"/>
        <w:ind w:firstLine="567"/>
        <w:jc w:val="both"/>
        <w:rPr>
          <w:rFonts w:eastAsia="PragmaticaC"/>
          <w:color w:val="231F20"/>
          <w:szCs w:val="24"/>
        </w:rPr>
      </w:pPr>
      <w:r>
        <w:rPr>
          <w:rFonts w:eastAsia="PragmaticaC"/>
          <w:color w:val="231F20"/>
          <w:szCs w:val="24"/>
        </w:rPr>
        <w:t>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задач.</w:t>
      </w:r>
    </w:p>
    <w:p w:rsidR="00EC6C91" w:rsidRDefault="00A45375">
      <w:pPr>
        <w:pStyle w:val="aa"/>
        <w:numPr>
          <w:ilvl w:val="0"/>
          <w:numId w:val="15"/>
        </w:numPr>
        <w:suppressAutoHyphens w:val="0"/>
        <w:spacing w:after="120"/>
        <w:ind w:left="142"/>
        <w:rPr>
          <w:szCs w:val="24"/>
        </w:rPr>
      </w:pPr>
      <w:r>
        <w:rPr>
          <w:szCs w:val="24"/>
        </w:rPr>
        <w:t>Расчет нормативных тепло</w:t>
      </w:r>
      <w:r>
        <w:rPr>
          <w:szCs w:val="24"/>
        </w:rPr>
        <w:t>вых потерь тепловой энергии в тепловых сетях котельной</w:t>
      </w:r>
    </w:p>
    <w:p w:rsidR="00EC6C91" w:rsidRDefault="00A45375">
      <w:pPr>
        <w:pStyle w:val="aa"/>
        <w:jc w:val="right"/>
        <w:rPr>
          <w:szCs w:val="24"/>
        </w:rPr>
      </w:pPr>
      <w:r>
        <w:rPr>
          <w:szCs w:val="24"/>
        </w:rPr>
        <w:t>Таблица 2.1.1</w:t>
      </w:r>
    </w:p>
    <w:p w:rsidR="00EC6C91" w:rsidRDefault="00A4537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материальных характеристиках тепловых сетей</w:t>
      </w:r>
    </w:p>
    <w:p w:rsidR="00EC6C91" w:rsidRDefault="00A45375">
      <w:pPr>
        <w:pStyle w:val="ConsPlusNormal"/>
        <w:widowControl/>
        <w:spacing w:after="12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МУП «Коммунсервис» котельная п. Сухоногово</w:t>
      </w: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1294"/>
        <w:gridCol w:w="1706"/>
        <w:gridCol w:w="1383"/>
        <w:gridCol w:w="1649"/>
        <w:gridCol w:w="1526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1184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 теплосети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Условный диаметр, мм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в 2-х трубн. исч, 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кладки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атериальная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нормативные теплопотери, Гкал/год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Котельн-ТК№1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ТК1-ТК2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ТК2-школа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- д.1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- теплица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ТК2 - д.11 Южная</w:t>
            </w:r>
          </w:p>
          <w:p w:rsidR="00EC6C91" w:rsidRDefault="00A45375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т1 - д.5 Южная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Т2 - д.7 Южная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ТК1 - ТК3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ТК3 - д/сад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ТК3 - ТК4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ТК4 - д. 6а ул.70лет 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ТК4 - д.8 ул.70лет 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ТК3 - Т7 (ТК3-ТК-5-ТК6-Т7)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247,91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432,60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Т3 - д.6, ул.70 лет 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ТК7 - д.2, ул.70 лет Октя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подземная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ТК8 - д.4, ул.70 лет Октя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</w:tr>
    </w:tbl>
    <w:p w:rsidR="00EC6C91" w:rsidRDefault="00EC6C91">
      <w:pPr>
        <w:pStyle w:val="Standard"/>
      </w:pP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1294"/>
        <w:gridCol w:w="1706"/>
        <w:gridCol w:w="1383"/>
        <w:gridCol w:w="1649"/>
        <w:gridCol w:w="1526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Т4 - ТК9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ТК9 - д.2 , ул.70 лет 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Т4 - д.5 , ул.70 летОктября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Т5 - д.7 , ул.70 летОктября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Т6 - д.9 , ул.70 летОктября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Т7 - Т10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127,14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Т10 - д.4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д.4 - д.2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подземная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д.4 - д.4а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д.4а - д.6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Т9 - д.1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д.1 Костромская - д.1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зурный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Т8 - д.3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Т7 - ТК 10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ТК10 - Дом быта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Т11 - д.3,ул.70 летОктября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ТК10 -д.1,ул.70летОктября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ТК11 - магазин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 быта - д.1 Торфяной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ТК6 - Спорткомплекс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148,84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ТК13 - д.5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ТК17 - ДШИ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ТК16 - ДК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ТК16 - д.1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Спорткомплекс - Т13а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Т13 - контора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Т13а - Т13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Т13а - Т19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136,03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Т14 - д.2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Т15 - д.4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Т16 - гараж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Т17 - гараж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Т18 - д.5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Т19 - ТК 23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ТК23 - д.11 Пасынково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ТК5 - ТК22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ТК22 - д.7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ТК22 - д.8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ТК5 - ТК19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ТК18 - ТК21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ТК21 - д.9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ТК21 - д.11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ТК12 - д.10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д.10 - д.14 Костромская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ТК19 - ТК20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ТК19 - д.13 Комсомол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ТК20 - д.7 Комсомольская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ТК20 - Т21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Т20 - д.10 Комсомольская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right="-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д.10 Комсомольская-д.2Лесная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Т21 - д.16 Комсомольская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Т21 - д.4 Комсомольская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ind w:left="-78" w:right="-108" w:firstLine="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в непр.кан.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1113,91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2681,85</w:t>
            </w:r>
          </w:p>
        </w:tc>
      </w:tr>
    </w:tbl>
    <w:p w:rsidR="00EC6C91" w:rsidRDefault="00A45375">
      <w:pPr>
        <w:pStyle w:val="aa"/>
        <w:numPr>
          <w:ilvl w:val="0"/>
          <w:numId w:val="14"/>
        </w:numPr>
        <w:suppressAutoHyphens w:val="0"/>
        <w:spacing w:before="120"/>
        <w:ind w:left="357" w:hanging="357"/>
        <w:jc w:val="both"/>
      </w:pPr>
      <w:r>
        <w:rPr>
          <w:szCs w:val="24"/>
        </w:rPr>
        <w:t xml:space="preserve">Заданный уровень потерь в тепловых </w:t>
      </w:r>
      <w:r>
        <w:rPr>
          <w:szCs w:val="24"/>
        </w:rPr>
        <w:t xml:space="preserve">сетях </w:t>
      </w:r>
      <w:r>
        <w:rPr>
          <w:bCs/>
          <w:szCs w:val="24"/>
        </w:rPr>
        <w:t>муниципальной котельной</w:t>
      </w:r>
    </w:p>
    <w:p w:rsidR="00EC6C91" w:rsidRDefault="00EC6C91">
      <w:pPr>
        <w:pStyle w:val="Standard"/>
        <w:suppressAutoHyphens w:val="0"/>
        <w:ind w:left="360"/>
        <w:jc w:val="both"/>
        <w:rPr>
          <w:szCs w:val="24"/>
        </w:rPr>
      </w:pPr>
    </w:p>
    <w:p w:rsidR="00EC6C91" w:rsidRDefault="00A45375">
      <w:pPr>
        <w:pStyle w:val="ConsPlusNormal"/>
        <w:widowControl/>
        <w:ind w:left="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Нормативные тепловые потери через тепловую изоляцию составляют 2681,85 Гкал/год. </w:t>
      </w:r>
      <w:r>
        <w:rPr>
          <w:rFonts w:ascii="Times New Roman" w:hAnsi="Times New Roman" w:cs="Times New Roman"/>
          <w:bCs/>
          <w:sz w:val="24"/>
          <w:szCs w:val="24"/>
        </w:rPr>
        <w:t>Отпуск тепловой энергии составил 13185,284 Гкал/год. Таким образом, доля потерь тепловой энергии будет составлять:</w:t>
      </w:r>
    </w:p>
    <w:p w:rsidR="00EC6C91" w:rsidRDefault="00EC6C9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C91" w:rsidRDefault="00A45375">
      <w:pPr>
        <w:pStyle w:val="Standard"/>
        <w:spacing w:before="120"/>
        <w:ind w:left="360"/>
        <w:jc w:val="both"/>
        <w:rPr>
          <w:szCs w:val="24"/>
        </w:rPr>
      </w:pPr>
      <w:r>
        <w:rPr>
          <w:szCs w:val="24"/>
        </w:rPr>
        <w:t>Заданный уровень тепловых по</w:t>
      </w:r>
      <w:r>
        <w:rPr>
          <w:szCs w:val="24"/>
        </w:rPr>
        <w:t>терь в сетях составляет 18%.</w:t>
      </w:r>
    </w:p>
    <w:p w:rsidR="00EC6C91" w:rsidRDefault="00A45375">
      <w:pPr>
        <w:pStyle w:val="Standard"/>
        <w:spacing w:before="120"/>
        <w:ind w:left="360"/>
        <w:jc w:val="both"/>
        <w:rPr>
          <w:szCs w:val="24"/>
        </w:rPr>
      </w:pPr>
      <w:r>
        <w:rPr>
          <w:szCs w:val="24"/>
        </w:rPr>
        <w:t>Для включения в расчет тарифа всего объема реальных тепловых потерь теплоснабжающей организации необходимо выполнить расчет нормативов технологических потерь при передаче тепловой энергии и приложить этот расчет к расчету тари</w:t>
      </w:r>
      <w:r>
        <w:rPr>
          <w:szCs w:val="24"/>
        </w:rPr>
        <w:t>фа.</w:t>
      </w:r>
    </w:p>
    <w:p w:rsidR="00EC6C91" w:rsidRDefault="00A45375">
      <w:pPr>
        <w:pStyle w:val="Standard"/>
        <w:spacing w:before="120"/>
        <w:ind w:left="360"/>
        <w:jc w:val="both"/>
        <w:rPr>
          <w:szCs w:val="24"/>
        </w:rPr>
      </w:pPr>
      <w:r>
        <w:rPr>
          <w:szCs w:val="24"/>
        </w:rPr>
        <w:t>Эффективным является такой радиус теплоснабжения для мелких котельных, когда уровень потерь составляет до 18%.</w:t>
      </w:r>
    </w:p>
    <w:p w:rsidR="00EC6C91" w:rsidRDefault="00A45375">
      <w:pPr>
        <w:pStyle w:val="Standard"/>
        <w:spacing w:before="120"/>
        <w:ind w:left="360"/>
        <w:jc w:val="both"/>
        <w:rPr>
          <w:szCs w:val="24"/>
        </w:rPr>
      </w:pPr>
      <w:r>
        <w:rPr>
          <w:szCs w:val="24"/>
        </w:rPr>
        <w:t>Для снижения тепловых потерь предлагается полная замена тепловой изоляции трубопроводов на современную, например, с помощью полуцилиндров из</w:t>
      </w:r>
      <w:r>
        <w:rPr>
          <w:szCs w:val="24"/>
        </w:rPr>
        <w:t xml:space="preserve"> пенополиуретана (см. табл. 4.2.3), что позволит снизить тепловые потери не менее, чем на 40% от существующего их уровня, т.е. до 2681, 85*0,6 = 1609,1 Гкал/год.</w:t>
      </w:r>
    </w:p>
    <w:p w:rsidR="00EC6C91" w:rsidRDefault="00A45375">
      <w:pPr>
        <w:pStyle w:val="Standard"/>
        <w:spacing w:before="120" w:after="120"/>
        <w:ind w:left="360"/>
        <w:jc w:val="both"/>
        <w:rPr>
          <w:szCs w:val="24"/>
        </w:rPr>
      </w:pPr>
      <w:r>
        <w:rPr>
          <w:szCs w:val="24"/>
        </w:rPr>
        <w:t>При сокращении тепловых потерь на 40%, доля потерь тепловой энергии будет составлять:</w:t>
      </w:r>
    </w:p>
    <w:p w:rsidR="00EC6C91" w:rsidRDefault="00EC6C9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C91" w:rsidRDefault="00EC6C91">
      <w:pPr>
        <w:pStyle w:val="22"/>
        <w:ind w:left="360" w:firstLine="0"/>
        <w:rPr>
          <w:b/>
          <w:szCs w:val="24"/>
        </w:rPr>
      </w:pPr>
    </w:p>
    <w:p w:rsidR="00EC6C91" w:rsidRDefault="00A45375">
      <w:pPr>
        <w:pStyle w:val="22"/>
        <w:ind w:left="360" w:firstLine="0"/>
      </w:pPr>
      <w:r>
        <w:rPr>
          <w:b/>
          <w:szCs w:val="24"/>
        </w:rPr>
        <w:t>Вывод</w:t>
      </w:r>
      <w:r>
        <w:rPr>
          <w:b/>
          <w:szCs w:val="24"/>
        </w:rPr>
        <w:t xml:space="preserve">: </w:t>
      </w:r>
      <w:r>
        <w:rPr>
          <w:bCs/>
          <w:szCs w:val="24"/>
        </w:rPr>
        <w:t>система не является энергоэффективной, радиус теплоснабжения превышает заданный уровень потерь. Проведение мероприятий по сокращению тепловых потерь через изоляцию позволит сделать систему энергоэффективной.</w:t>
      </w:r>
    </w:p>
    <w:p w:rsidR="00EC6C91" w:rsidRDefault="00EC6C91">
      <w:pPr>
        <w:pStyle w:val="Standard"/>
        <w:ind w:left="360"/>
        <w:jc w:val="both"/>
        <w:rPr>
          <w:b/>
          <w:bCs/>
          <w:sz w:val="28"/>
          <w:szCs w:val="28"/>
        </w:rPr>
      </w:pPr>
    </w:p>
    <w:p w:rsidR="00EC6C91" w:rsidRDefault="00A45375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 Перспективные балансы тепловой мощности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тепловой нагрузки в зонах действия источников тепловой энергии</w:t>
      </w:r>
    </w:p>
    <w:p w:rsidR="00EC6C91" w:rsidRDefault="00A453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2.2.1</w:t>
      </w:r>
    </w:p>
    <w:p w:rsidR="00EC6C91" w:rsidRDefault="00A4537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нагрузки и тепловые мощности в зонах действия источников тепловой энергии</w:t>
      </w:r>
    </w:p>
    <w:tbl>
      <w:tblPr>
        <w:tblW w:w="101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2560"/>
        <w:gridCol w:w="1420"/>
        <w:gridCol w:w="1764"/>
        <w:gridCol w:w="1420"/>
        <w:gridCol w:w="2253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здания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здания Vнар., куб.м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 год.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Тепловые нагрузки, Гкал/ч </w:t>
            </w:r>
            <w:r>
              <w:rPr>
                <w:sz w:val="22"/>
              </w:rPr>
              <w:t>отопление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п. Сухоногово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260,5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0,10432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0,10361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260,5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0,10432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4а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259,6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0,10396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259,0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0,10373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195,1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0,07813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260,5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0,10432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277,1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0,11098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0,03794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0,07957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0,07621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137,76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0,00640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0,04704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137,76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0,00640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16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237,05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0,00981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2787,5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0,07319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282,2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0,11304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лет </w:t>
            </w:r>
            <w:r>
              <w:rPr>
                <w:rFonts w:ascii="Arial" w:hAnsi="Arial" w:cs="Arial"/>
                <w:sz w:val="20"/>
                <w:szCs w:val="20"/>
              </w:rPr>
              <w:t>Октября 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322,0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0,12896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282,2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0,11304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0,05868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0,05890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261,9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0,10489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0,05868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Парковый проезд 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0,05882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 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0,01221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Лазурный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2787,5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175,7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0,07037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 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38,2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0,01528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 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0,02166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 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185,2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0,07417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 10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0,01162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Южная 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0,00803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Южная 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0,01244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Волжский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43,3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0,01734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пер. Торфяной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н/с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0,01382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Пасынкова 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3038,5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191,5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0,07671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Пасынкова 2а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165,36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17,1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0,00685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Пасынкова 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9,9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0,00395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Пасынкова 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46,4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0,01857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Пасынкова 11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н/с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0,00427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Пасынкова 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н/с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0,00427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лет Октября 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н/с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282,2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0,11304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лет Октября 6а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122,3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0,04897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 д.5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н/с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138,0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0,05526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6112,3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2,4482</w:t>
            </w:r>
          </w:p>
        </w:tc>
      </w:tr>
    </w:tbl>
    <w:p w:rsidR="00EC6C91" w:rsidRDefault="00EC6C91">
      <w:pPr>
        <w:pStyle w:val="Standard"/>
      </w:pPr>
    </w:p>
    <w:p w:rsidR="00EC6C91" w:rsidRDefault="00A45375">
      <w:pPr>
        <w:pStyle w:val="ConsPlusNormal"/>
        <w:widowControl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2.2.1а</w:t>
      </w: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699"/>
        <w:gridCol w:w="1062"/>
        <w:gridCol w:w="1264"/>
        <w:gridCol w:w="2076"/>
        <w:gridCol w:w="1193"/>
        <w:gridCol w:w="1194"/>
        <w:gridCol w:w="236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МКД</w:t>
            </w:r>
          </w:p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(населенный пункт, улица, дом)</w:t>
            </w:r>
          </w:p>
        </w:tc>
        <w:tc>
          <w:tcPr>
            <w:tcW w:w="10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МКД, (м.кв.)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жит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лей, зарегистрир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ван-ных в МКД, (чел)</w:t>
            </w:r>
          </w:p>
        </w:tc>
        <w:tc>
          <w:tcPr>
            <w:tcW w:w="243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дома централизованными коммунальными усл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гами</w:t>
            </w:r>
          </w:p>
        </w:tc>
        <w:tc>
          <w:tcPr>
            <w:tcW w:w="30" w:type="dxa"/>
            <w:vMerge w:val="restart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Тепловая нагрузка на ГВС, </w:t>
            </w:r>
            <w:r>
              <w:rPr>
                <w:rFonts w:ascii="Arial" w:hAnsi="Arial" w:cs="Arial"/>
                <w:sz w:val="20"/>
                <w:szCs w:val="20"/>
              </w:rPr>
              <w:t>Гкал/ч</w:t>
            </w:r>
          </w:p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27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10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  <w:tc>
          <w:tcPr>
            <w:tcW w:w="12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2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</w:t>
            </w:r>
          </w:p>
        </w:tc>
        <w:tc>
          <w:tcPr>
            <w:tcW w:w="30" w:type="dxa"/>
            <w:vMerge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45375"/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д.1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д.2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1230,1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0,0305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д.3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1239,7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д.4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д.5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д.6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1241,8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д.4а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1241,8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д.7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д.9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д.11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Костромская, д.13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Комсомольская, д.5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Комсомольская, д.7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Пасынкова, д.2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пер.Торфяной д.1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д.1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д.2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д.3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0,0505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д.4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895,2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д.5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д.6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70 лет Октября, д.7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596.1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70 лет Октября,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д.8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70 лет Октября, д.9                                         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пр-зд Парковый, д.2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0,0155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пер. Лазурный, д.1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0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0,5555</w:t>
            </w:r>
          </w:p>
        </w:tc>
      </w:tr>
    </w:tbl>
    <w:p w:rsidR="00EC6C91" w:rsidRDefault="00A45375">
      <w:pPr>
        <w:pStyle w:val="ConsPlusNormal"/>
        <w:widowControl/>
        <w:tabs>
          <w:tab w:val="left" w:pos="2622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теплоснабжающей организации с учетом тепловых нагрузок социальных, административных и прочих объектов суммарная тепловая нагрузка источника теплоты 4,19 Гкал/ч.</w:t>
      </w:r>
    </w:p>
    <w:p w:rsidR="00EC6C91" w:rsidRDefault="00A45375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данных, у теплоснабжающей организации существует дефицит в тепловой мо</w:t>
      </w:r>
      <w:r>
        <w:rPr>
          <w:rFonts w:ascii="Times New Roman" w:hAnsi="Times New Roman" w:cs="Times New Roman"/>
          <w:sz w:val="24"/>
          <w:szCs w:val="24"/>
        </w:rPr>
        <w:t>щности теплоисточника. Проблема существует в неизолированных теплопроводах, а также в неотлаженности гидравлического режима тепловых сетей.</w:t>
      </w:r>
    </w:p>
    <w:p w:rsidR="00EC6C91" w:rsidRDefault="00A45375">
      <w:pPr>
        <w:pStyle w:val="Standard"/>
        <w:ind w:firstLine="540"/>
      </w:pPr>
      <w:r>
        <w:t>В зоне действия котельной производственные зоны отсутствуют. Потребление тепловой энергии объектами осуществляется в</w:t>
      </w:r>
      <w:r>
        <w:t xml:space="preserve"> виде отопления (горячая вода) и горячего водоснабжения. Увеличение тепловой нагрузки на котельную в дальнейшем не предвидится.</w:t>
      </w:r>
    </w:p>
    <w:p w:rsidR="00EC6C91" w:rsidRDefault="00A45375">
      <w:pPr>
        <w:pStyle w:val="Standard"/>
        <w:jc w:val="right"/>
      </w:pPr>
      <w:r>
        <w:t>Таблица 2.2.3</w:t>
      </w:r>
    </w:p>
    <w:p w:rsidR="00EC6C91" w:rsidRDefault="00A45375">
      <w:pPr>
        <w:pStyle w:val="Standard"/>
        <w:spacing w:after="170"/>
        <w:jc w:val="center"/>
      </w:pPr>
      <w:r>
        <w:t>Результаты гидравлического расчета выводов источников тепловой энергии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319"/>
        <w:gridCol w:w="1531"/>
        <w:gridCol w:w="1677"/>
        <w:gridCol w:w="1329"/>
        <w:gridCol w:w="1525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отельных, выводов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TableContents"/>
              <w:jc w:val="center"/>
            </w:pPr>
            <w:r>
              <w:rPr>
                <w:szCs w:val="24"/>
              </w:rPr>
              <w:t xml:space="preserve">Сетевой график, </w:t>
            </w:r>
            <w:r>
              <w:rPr>
                <w:szCs w:val="24"/>
                <w:vertAlign w:val="superscript"/>
              </w:rPr>
              <w:t>о</w:t>
            </w:r>
            <w:r>
              <w:rPr>
                <w:szCs w:val="24"/>
              </w:rPr>
              <w:t>С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Расчетная тепловая нагрузка на вывод, Гкал/ч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TableContents"/>
              <w:ind w:left="-50" w:right="-55"/>
              <w:jc w:val="center"/>
              <w:rPr>
                <w:szCs w:val="24"/>
              </w:rPr>
            </w:pPr>
            <w:r>
              <w:rPr>
                <w:szCs w:val="24"/>
              </w:rPr>
              <w:t>Расчетный расход теплоносителя, т/ч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Требуемый диаметр вывода, мм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диаметр вывода, мм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МУП «Коммунсервис»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rPr>
                <w:szCs w:val="24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180,7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180,7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</w:tr>
    </w:tbl>
    <w:p w:rsidR="00EC6C91" w:rsidRDefault="00A45375">
      <w:pPr>
        <w:pStyle w:val="Standard"/>
        <w:spacing w:before="120"/>
        <w:ind w:left="-51" w:right="-57"/>
        <w:jc w:val="both"/>
        <w:rPr>
          <w:szCs w:val="24"/>
        </w:rPr>
      </w:pPr>
      <w:r>
        <w:rPr>
          <w:szCs w:val="24"/>
        </w:rPr>
        <w:t>Анализ полученных расчетов позволяет сделать следующие выводы:</w:t>
      </w:r>
    </w:p>
    <w:p w:rsidR="00EC6C91" w:rsidRDefault="00A45375">
      <w:pPr>
        <w:pStyle w:val="ConsPlusNormal"/>
        <w:widowControl/>
        <w:tabs>
          <w:tab w:val="left" w:pos="0"/>
        </w:tabs>
        <w:spacing w:before="120"/>
        <w:ind w:firstLine="284"/>
        <w:jc w:val="both"/>
      </w:pPr>
      <w:r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МУП «Коммунсервис»</w:t>
      </w:r>
      <w:r>
        <w:rPr>
          <w:rFonts w:ascii="Times New Roman" w:hAnsi="Times New Roman" w:cs="Times New Roman"/>
          <w:sz w:val="24"/>
        </w:rPr>
        <w:t xml:space="preserve"> все выводы имеют достаточный диаметр. У некоторых тепловых камер диаметр выводов значительно завышен, что следует учитывать при перекладке головных и пром</w:t>
      </w:r>
      <w:r>
        <w:rPr>
          <w:rFonts w:ascii="Times New Roman" w:hAnsi="Times New Roman" w:cs="Times New Roman"/>
          <w:sz w:val="24"/>
        </w:rPr>
        <w:t>ежуточных участков теплосетей по причине их износа.</w:t>
      </w:r>
    </w:p>
    <w:p w:rsidR="00EC6C91" w:rsidRDefault="00A45375">
      <w:pPr>
        <w:pStyle w:val="ConsPlusNormal"/>
        <w:widowControl/>
        <w:tabs>
          <w:tab w:val="left" w:pos="2622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2.2.4</w:t>
      </w:r>
    </w:p>
    <w:p w:rsidR="00EC6C91" w:rsidRDefault="00A45375">
      <w:pPr>
        <w:pStyle w:val="ConsPlusNormal"/>
        <w:widowControl/>
        <w:tabs>
          <w:tab w:val="left" w:pos="2622"/>
        </w:tabs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Баланс тепловых нагрузок и тепловой мощности теплоисточников, Гкал/ч</w:t>
      </w:r>
    </w:p>
    <w:tbl>
      <w:tblPr>
        <w:tblW w:w="1015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788"/>
        <w:gridCol w:w="3417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5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Показатели баланса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ind w:left="-9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Приход: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располагаемая мощность котлов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4,96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резервная </w:t>
            </w:r>
            <w:r>
              <w:rPr>
                <w:rFonts w:eastAsia="Times New Roman"/>
                <w:color w:val="000000"/>
                <w:szCs w:val="24"/>
              </w:rPr>
              <w:t>тепловая мощность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итого приход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4,96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rFonts w:eastAsia="Times New Roman"/>
                <w:szCs w:val="24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2.1.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тепловые нагрузки потребителей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4,19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2.2.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сетевые потери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0,92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затраты на собственные нужды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0,11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2.4.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тепловая нагрузка на котлы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5,22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2.5.</w:t>
            </w:r>
          </w:p>
        </w:tc>
        <w:tc>
          <w:tcPr>
            <w:tcW w:w="57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резерв тепловой мощности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-0,26</w:t>
            </w:r>
          </w:p>
        </w:tc>
      </w:tr>
    </w:tbl>
    <w:p w:rsidR="00EC6C91" w:rsidRDefault="00A45375">
      <w:pPr>
        <w:pStyle w:val="ConsPlusNormal"/>
        <w:widowControl/>
        <w:tabs>
          <w:tab w:val="left" w:pos="0"/>
        </w:tabs>
        <w:spacing w:before="12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>
        <w:rPr>
          <w:rFonts w:ascii="Times New Roman" w:hAnsi="Times New Roman" w:cs="Times New Roman"/>
          <w:sz w:val="24"/>
          <w:szCs w:val="24"/>
        </w:rPr>
        <w:t xml:space="preserve">приведенного баланса, теоретически у теплоснабжающей организации имеется определенный резерв установленной тепловой мощности котлов. Однако, техническое состояние котлов на котельной </w:t>
      </w:r>
      <w:r>
        <w:rPr>
          <w:rFonts w:ascii="Times New Roman" w:hAnsi="Times New Roman" w:cs="Times New Roman"/>
          <w:bCs/>
          <w:sz w:val="24"/>
          <w:szCs w:val="24"/>
        </w:rPr>
        <w:t>таково, что котлы могут выдать не более 50% своей паспортной мощности. По</w:t>
      </w:r>
      <w:r>
        <w:rPr>
          <w:rFonts w:ascii="Times New Roman" w:hAnsi="Times New Roman" w:cs="Times New Roman"/>
          <w:bCs/>
          <w:sz w:val="24"/>
          <w:szCs w:val="24"/>
        </w:rPr>
        <w:t>этому реальный резерв тепловой мощности на котельной отсутствует.</w:t>
      </w:r>
    </w:p>
    <w:p w:rsidR="00EC6C91" w:rsidRDefault="00EC6C91">
      <w:pPr>
        <w:pStyle w:val="ConsPlusNormal"/>
        <w:widowControl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C91" w:rsidRDefault="00A45375">
      <w:pPr>
        <w:pStyle w:val="Standard"/>
        <w:ind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 Описание существующих и перспективных зон действия индивидуальных источников тепловой энергии.</w:t>
      </w:r>
    </w:p>
    <w:p w:rsidR="00EC6C91" w:rsidRDefault="00A45375">
      <w:pPr>
        <w:pStyle w:val="Textbody"/>
        <w:jc w:val="both"/>
      </w:pPr>
      <w:r>
        <w:t xml:space="preserve">   В 2017 году в поселке Сухоногово  насчитывается</w:t>
      </w:r>
      <w:r>
        <w:t xml:space="preserve"> 24 </w:t>
      </w:r>
      <w:r>
        <w:t>потребителя, имеющие индивидуальное отопление в квартирах.</w:t>
      </w:r>
    </w:p>
    <w:p w:rsidR="00EC6C91" w:rsidRDefault="00A45375">
      <w:pPr>
        <w:pStyle w:val="Standard"/>
        <w:suppressAutoHyphens w:val="0"/>
        <w:rPr>
          <w:bCs/>
          <w:szCs w:val="24"/>
        </w:rPr>
      </w:pPr>
      <w:r>
        <w:rPr>
          <w:bCs/>
          <w:szCs w:val="24"/>
        </w:rPr>
        <w:t>Перечень  жилых помещений в многоквартирных жилых домах п.Сухоногово Костромского района Костромской области с использованием индивидуальных квартирных источников тепловой эне</w:t>
      </w:r>
      <w:r>
        <w:rPr>
          <w:bCs/>
          <w:szCs w:val="24"/>
        </w:rPr>
        <w:t>р</w:t>
      </w:r>
      <w:r>
        <w:rPr>
          <w:bCs/>
          <w:szCs w:val="24"/>
        </w:rPr>
        <w:t>гии  - индивидуал</w:t>
      </w:r>
      <w:r>
        <w:rPr>
          <w:bCs/>
          <w:szCs w:val="24"/>
        </w:rPr>
        <w:t>ьного газового отопления приведен в таблице:</w:t>
      </w:r>
    </w:p>
    <w:p w:rsidR="00EC6C91" w:rsidRDefault="00EC6C91">
      <w:pPr>
        <w:pStyle w:val="ConsPlusNormal"/>
        <w:widowControl/>
        <w:suppressAutoHyphens w:val="0"/>
        <w:spacing w:after="12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6C91" w:rsidRDefault="00EC6C91">
      <w:pPr>
        <w:pStyle w:val="Standard"/>
        <w:suppressAutoHyphens w:val="0"/>
        <w:rPr>
          <w:bCs/>
          <w:szCs w:val="24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854"/>
        <w:gridCol w:w="6571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№ п/п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Площадка оборудования</w:t>
            </w: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Адрес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ул.Комсомольская, д.7, кв.5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ул.Комсомольская, д.7, кв.6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ул.Комсомольская, д.7, кв.11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4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пер.Лазурный, д.1, кв.5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5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д.2, кв.9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6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д.3, кв.7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7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д.3, кв.9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8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 xml:space="preserve">п.Сухоногово, ул.70 лет Октября, д.3, </w:t>
            </w:r>
            <w:r>
              <w:t>кв.26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9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д.3, кв.27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10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д.3, кв.28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lastRenderedPageBreak/>
              <w:t>11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д.3, кв.29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д.4, кв.6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д.4, кв.9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14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д.7, кв.4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15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ул.70 лет Октября, д.9, кв.1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16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д.4, кв.10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17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 xml:space="preserve">п.Сухоногово, ул. Костромская, </w:t>
            </w:r>
            <w:r>
              <w:t>д.4а, кв.19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18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д.4а, кв.22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19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д.5, кв.15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20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д.7, кв.7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 9, кв. 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 9, кв. 13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д.11, кв. 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24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Квартира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C91" w:rsidRDefault="00A45375">
            <w:pPr>
              <w:pStyle w:val="Standard"/>
            </w:pPr>
            <w:r>
              <w:t>п.Сухоногово, ул. Костромская, д.13, кв.1</w:t>
            </w:r>
          </w:p>
        </w:tc>
      </w:tr>
    </w:tbl>
    <w:p w:rsidR="00EC6C91" w:rsidRDefault="00EC6C91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sectPr w:rsidR="00EC6C91">
          <w:headerReference w:type="default" r:id="rId10"/>
          <w:pgSz w:w="11906" w:h="16838"/>
          <w:pgMar w:top="851" w:right="567" w:bottom="709" w:left="1134" w:header="568" w:footer="720" w:gutter="0"/>
          <w:cols w:space="720"/>
        </w:sectPr>
      </w:pPr>
    </w:p>
    <w:p w:rsidR="00EC6C91" w:rsidRDefault="00A45375">
      <w:pPr>
        <w:pStyle w:val="Standard"/>
        <w:jc w:val="right"/>
      </w:pPr>
      <w:r>
        <w:lastRenderedPageBreak/>
        <w:t>Таблица 2.5</w:t>
      </w:r>
    </w:p>
    <w:p w:rsidR="00EC6C91" w:rsidRDefault="00A45375">
      <w:pPr>
        <w:pStyle w:val="Standard"/>
        <w:spacing w:after="120"/>
        <w:jc w:val="center"/>
        <w:rPr>
          <w:bCs/>
        </w:rPr>
      </w:pPr>
      <w:r>
        <w:rPr>
          <w:bCs/>
        </w:rPr>
        <w:t>Баланс тепловой мощности и тепловой нагрузки источников тепловой энергии, Гкал/ч</w:t>
      </w:r>
    </w:p>
    <w:tbl>
      <w:tblPr>
        <w:tblW w:w="15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2417"/>
        <w:gridCol w:w="849"/>
        <w:gridCol w:w="850"/>
        <w:gridCol w:w="1303"/>
        <w:gridCol w:w="744"/>
        <w:gridCol w:w="719"/>
        <w:gridCol w:w="1482"/>
        <w:gridCol w:w="850"/>
        <w:gridCol w:w="849"/>
        <w:gridCol w:w="751"/>
        <w:gridCol w:w="949"/>
        <w:gridCol w:w="1018"/>
        <w:gridCol w:w="983"/>
        <w:gridCol w:w="987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 баланса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2014г.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2016г.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2017г.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2018г.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2019г.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2023г.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2025г.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2026г.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2027г.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Приход тепловой мощности: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«Коммунсервис»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приход тепловой мощности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4,96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tabs>
                <w:tab w:val="left" w:pos="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Расчетные тепловые нагрузки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«Коммунсервис»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сетевые потери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rFonts w:eastAsia="Times New Roman"/>
                <w:color w:val="000000"/>
                <w:szCs w:val="24"/>
              </w:rPr>
              <w:t xml:space="preserve">затраты на собственные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нужды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тепловая нагрузка на котлы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Дефицит тепловой мощности (-),резерв (+)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-0,26</w:t>
            </w:r>
          </w:p>
        </w:tc>
      </w:tr>
    </w:tbl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EC6C91">
      <w:pPr>
        <w:pStyle w:val="Standard"/>
        <w:spacing w:after="120"/>
        <w:jc w:val="center"/>
        <w:rPr>
          <w:b/>
          <w:bCs/>
        </w:rPr>
      </w:pPr>
    </w:p>
    <w:p w:rsidR="00EC6C91" w:rsidRDefault="00A4537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 Перспективный баланс теплоносителя</w:t>
      </w:r>
    </w:p>
    <w:p w:rsidR="00EC6C91" w:rsidRDefault="00A45375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EC6C91" w:rsidRDefault="00A45375">
      <w:pPr>
        <w:pStyle w:val="ConsPlusNormal"/>
        <w:widowControl/>
        <w:tabs>
          <w:tab w:val="left" w:pos="0"/>
        </w:tabs>
        <w:spacing w:after="120"/>
        <w:ind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Перспективный баланс теплоносителя в системах теплоснабжения,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tbl>
      <w:tblPr>
        <w:tblW w:w="15517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632"/>
        <w:gridCol w:w="134"/>
        <w:gridCol w:w="1532"/>
        <w:gridCol w:w="187"/>
        <w:gridCol w:w="1433"/>
        <w:gridCol w:w="285"/>
        <w:gridCol w:w="858"/>
        <w:gridCol w:w="1285"/>
        <w:gridCol w:w="434"/>
        <w:gridCol w:w="1187"/>
        <w:gridCol w:w="532"/>
        <w:gridCol w:w="1089"/>
        <w:gridCol w:w="630"/>
        <w:gridCol w:w="858"/>
        <w:gridCol w:w="940"/>
        <w:gridCol w:w="779"/>
        <w:gridCol w:w="863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№ п/п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Показатели баланса</w:t>
            </w:r>
          </w:p>
        </w:tc>
        <w:tc>
          <w:tcPr>
            <w:tcW w:w="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3" w:firstLine="73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13г.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15г.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2018г.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right="-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2028г.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Приход:</w:t>
            </w:r>
          </w:p>
        </w:tc>
        <w:tc>
          <w:tcPr>
            <w:tcW w:w="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right="-56"/>
              <w:jc w:val="center"/>
              <w:rPr>
                <w:color w:val="000000"/>
                <w:sz w:val="22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1.1.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от водоподгото-вительных установок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1.2.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из водопровода сырой воды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итого приход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Расход: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 w:val="22"/>
              </w:rPr>
              <w:t>среднегодовой объем тепло-носителя в теплосетях, м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2.2.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расчетная тепловая нагрузка на отопление, Гкал/ч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0,5090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2.3.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расчетная тепловая нагрузка на ГВС, Гкал/ч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2.4.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color w:val="000000"/>
                <w:sz w:val="22"/>
              </w:rPr>
              <w:t>среднегодовой объем тепло-носителя в системах теплопотреблен</w:t>
            </w:r>
            <w:r>
              <w:rPr>
                <w:color w:val="000000"/>
                <w:sz w:val="22"/>
              </w:rPr>
              <w:lastRenderedPageBreak/>
              <w:t>ия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50,84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50,84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2.5.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rFonts w:eastAsia="Times New Roman"/>
                <w:color w:val="000000"/>
                <w:sz w:val="22"/>
              </w:rPr>
              <w:t>объем тепло-носителя в системах теплоснабжения,</w:t>
            </w:r>
            <w:r>
              <w:rPr>
                <w:color w:val="000000"/>
                <w:szCs w:val="24"/>
              </w:rPr>
              <w:t xml:space="preserve"> м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2.6.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</w:pPr>
            <w:r>
              <w:rPr>
                <w:rFonts w:eastAsia="Times New Roman"/>
                <w:color w:val="000000"/>
                <w:sz w:val="22"/>
              </w:rPr>
              <w:t>нормативные потери теплоноси-теля, м</w:t>
            </w:r>
            <w:r>
              <w:rPr>
                <w:rFonts w:eastAsia="Times New Roman"/>
                <w:color w:val="000000"/>
                <w:sz w:val="22"/>
                <w:vertAlign w:val="superscript"/>
              </w:rPr>
              <w:t>3</w:t>
            </w:r>
            <w:r>
              <w:rPr>
                <w:rFonts w:eastAsia="Times New Roman"/>
                <w:color w:val="000000"/>
                <w:sz w:val="22"/>
              </w:rPr>
              <w:t>/год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23308,7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Нормативные затраты на подпитку теплосетей, тыс.руб./год</w:t>
            </w:r>
          </w:p>
        </w:tc>
        <w:tc>
          <w:tcPr>
            <w:tcW w:w="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7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</w:tr>
    </w:tbl>
    <w:p w:rsidR="00000000" w:rsidRDefault="00A45375">
      <w:pPr>
        <w:sectPr w:rsidR="00000000">
          <w:headerReference w:type="default" r:id="rId11"/>
          <w:pgSz w:w="16838" w:h="11906" w:orient="landscape"/>
          <w:pgMar w:top="851" w:right="567" w:bottom="851" w:left="567" w:header="567" w:footer="720" w:gutter="0"/>
          <w:cols w:space="720"/>
        </w:sectPr>
      </w:pPr>
    </w:p>
    <w:p w:rsidR="00EC6C91" w:rsidRDefault="00A4537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Предложения по строительству, реконструкции и техническому </w:t>
      </w:r>
      <w:r>
        <w:rPr>
          <w:b/>
          <w:sz w:val="28"/>
          <w:szCs w:val="28"/>
        </w:rPr>
        <w:t>перевооружению источников тепловой энергии</w:t>
      </w:r>
    </w:p>
    <w:p w:rsidR="00EC6C91" w:rsidRDefault="00A45375">
      <w:pPr>
        <w:pStyle w:val="Standard"/>
        <w:tabs>
          <w:tab w:val="left" w:pos="375"/>
        </w:tabs>
        <w:spacing w:before="120" w:after="120"/>
        <w:jc w:val="both"/>
      </w:pPr>
      <w:r>
        <w:rPr>
          <w:b/>
        </w:rPr>
        <w:t xml:space="preserve">4.1 </w:t>
      </w:r>
      <w:r>
        <w:rPr>
          <w:b/>
          <w:szCs w:val="24"/>
        </w:rPr>
        <w:t xml:space="preserve">Предложения по строительству и реконструкции </w:t>
      </w:r>
      <w:r>
        <w:rPr>
          <w:b/>
        </w:rPr>
        <w:t>котельных на базе существующих и перспективных тепловых нагрузок</w:t>
      </w:r>
    </w:p>
    <w:p w:rsidR="00EC6C91" w:rsidRDefault="00A45375">
      <w:pPr>
        <w:pStyle w:val="Standard"/>
        <w:tabs>
          <w:tab w:val="left" w:pos="375"/>
        </w:tabs>
        <w:jc w:val="both"/>
        <w:rPr>
          <w:szCs w:val="24"/>
        </w:rPr>
      </w:pPr>
      <w:r>
        <w:rPr>
          <w:szCs w:val="24"/>
        </w:rPr>
        <w:tab/>
        <w:t>Увеличение тепловых нагрузок у существующих котельных не предвидится.</w:t>
      </w:r>
    </w:p>
    <w:p w:rsidR="00EC6C91" w:rsidRDefault="00A45375">
      <w:pPr>
        <w:pStyle w:val="Standard"/>
        <w:tabs>
          <w:tab w:val="left" w:pos="375"/>
        </w:tabs>
        <w:jc w:val="both"/>
      </w:pPr>
      <w:r>
        <w:rPr>
          <w:szCs w:val="24"/>
        </w:rPr>
        <w:tab/>
      </w:r>
      <w:r>
        <w:t xml:space="preserve">Стратегическими </w:t>
      </w:r>
      <w:r>
        <w:t>направлениями в реконструкции котельных должны стать:</w:t>
      </w:r>
    </w:p>
    <w:p w:rsidR="00EC6C91" w:rsidRDefault="00A45375">
      <w:pPr>
        <w:pStyle w:val="Standard"/>
        <w:ind w:firstLine="567"/>
        <w:jc w:val="both"/>
      </w:pPr>
      <w:r>
        <w:t>- ремонт всех тепловых сетей с заменой тепловой изоляции;</w:t>
      </w:r>
    </w:p>
    <w:p w:rsidR="00EC6C91" w:rsidRDefault="00A45375">
      <w:pPr>
        <w:pStyle w:val="Standard"/>
        <w:ind w:firstLine="567"/>
        <w:jc w:val="both"/>
      </w:pPr>
      <w:r>
        <w:t>- наладка гидравлического режима всех тепловых сетей с целью обеспечения подачи теплоносителя потребителям в соответствии с их тепловыми нагрузк</w:t>
      </w:r>
      <w:r>
        <w:t>ами и с меньшими затратами электроэнергии;</w:t>
      </w:r>
    </w:p>
    <w:p w:rsidR="00EC6C91" w:rsidRDefault="00A45375">
      <w:pPr>
        <w:pStyle w:val="Standard"/>
        <w:ind w:firstLine="567"/>
        <w:jc w:val="both"/>
      </w:pPr>
      <w:r>
        <w:t>- замена сетевых насосов на котельных с целью обеспечения требуемой суммарной подачи теплоносителя при минимальных затратах электроэнергии;</w:t>
      </w:r>
    </w:p>
    <w:p w:rsidR="00EC6C91" w:rsidRDefault="00A45375">
      <w:pPr>
        <w:pStyle w:val="Standard"/>
        <w:ind w:firstLine="567"/>
        <w:jc w:val="both"/>
      </w:pPr>
      <w:r>
        <w:t>- установка приборов учета потребляемых ресурсов и отпускаемой тепловой э</w:t>
      </w:r>
      <w:r>
        <w:t>нергии;</w:t>
      </w:r>
    </w:p>
    <w:p w:rsidR="00EC6C91" w:rsidRDefault="00A45375">
      <w:pPr>
        <w:pStyle w:val="Standard"/>
        <w:ind w:firstLine="567"/>
        <w:jc w:val="both"/>
      </w:pPr>
      <w:r>
        <w:t>Затраты на реконструкцию котельных включают в себя приобретение, монтаж и пуско-наладку котлов, водоподготовительных установок, установку приборов учета, расчет и наладку гидравлического режима тепловых сетей.</w:t>
      </w:r>
    </w:p>
    <w:p w:rsidR="00EC6C91" w:rsidRDefault="00A45375">
      <w:pPr>
        <w:pStyle w:val="Standard"/>
        <w:ind w:firstLine="567"/>
        <w:jc w:val="both"/>
      </w:pPr>
      <w:r>
        <w:t xml:space="preserve">Эффект от произведенной реконструкции </w:t>
      </w:r>
      <w:r>
        <w:t>котельных будет заключаться в сокращении расхода топлива и финансовых затрат на его приобретение, уменьшение тепловых потерь при передаче тепловой энергии.</w:t>
      </w:r>
    </w:p>
    <w:p w:rsidR="00EC6C91" w:rsidRDefault="00A45375">
      <w:pPr>
        <w:pStyle w:val="Standard"/>
        <w:ind w:firstLine="567"/>
        <w:jc w:val="both"/>
      </w:pPr>
      <w:r>
        <w:t>КПД новых котлов, работающих на природном газе, по данным заводов-изготовителей принимается 92%</w:t>
      </w:r>
    </w:p>
    <w:p w:rsidR="00EC6C91" w:rsidRDefault="00A45375">
      <w:pPr>
        <w:pStyle w:val="Standard"/>
        <w:ind w:firstLine="567"/>
        <w:jc w:val="both"/>
      </w:pPr>
      <w:r>
        <w:t>Зам</w:t>
      </w:r>
      <w:r>
        <w:t>ена тепловой изоляции с применением современных эффективных теплоизоляционных материалов и выполненная в соответствии со СНиП 41-03-2003 «Тепловая изоляция оборудования и трубопроводов» позволит уменьшить тепловые потери в теплосетях, как минимум, на 30%.</w:t>
      </w:r>
    </w:p>
    <w:p w:rsidR="00EC6C91" w:rsidRDefault="00A45375">
      <w:pPr>
        <w:pStyle w:val="ab"/>
      </w:pPr>
      <w:r>
        <w:t xml:space="preserve">Необходимо решить вопрос с потребителями жилые дома по адресам: ул. Южная д.№5, д.№7 о переводе их на индивидуальное отопление. В этом случае выводится из работы участок сети от ТК2 до д.7 общей протяженностью 440 м, нормативные тепловые потери на котором </w:t>
      </w:r>
      <w:r>
        <w:t>составляют 198,16 Гкал/год. В результате сокращение нерационального использования топлива составит 33,0 тыс. куб.м/год на сумму 178 тыс. руб.</w:t>
      </w:r>
    </w:p>
    <w:p w:rsidR="00EC6C91" w:rsidRDefault="00A45375">
      <w:pPr>
        <w:pStyle w:val="Standard"/>
        <w:ind w:firstLine="600"/>
      </w:pPr>
      <w:r>
        <w:t>Объем работ по реконструкции котельных и их тепловых сетей, размер затрат и срок их окупаемости приведен в таблица</w:t>
      </w:r>
      <w:r>
        <w:t>х 4.1.1 – 4.1.4.</w:t>
      </w:r>
    </w:p>
    <w:p w:rsidR="00EC6C91" w:rsidRDefault="00A45375">
      <w:pPr>
        <w:pStyle w:val="Standard"/>
        <w:ind w:firstLine="567"/>
        <w:jc w:val="right"/>
      </w:pPr>
      <w:r>
        <w:t>Таблица 4.1.1</w:t>
      </w:r>
    </w:p>
    <w:p w:rsidR="00EC6C91" w:rsidRDefault="00A45375">
      <w:pPr>
        <w:pStyle w:val="Standard"/>
        <w:spacing w:after="120"/>
        <w:ind w:firstLine="567"/>
        <w:jc w:val="center"/>
      </w:pPr>
      <w:r>
        <w:t>Расчет эффективности реконструкции котельных. Замена котлов.</w:t>
      </w:r>
    </w:p>
    <w:tbl>
      <w:tblPr>
        <w:tblW w:w="10312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992"/>
        <w:gridCol w:w="548"/>
        <w:gridCol w:w="1035"/>
        <w:gridCol w:w="1062"/>
        <w:gridCol w:w="1548"/>
        <w:gridCol w:w="485"/>
        <w:gridCol w:w="1028"/>
        <w:gridCol w:w="1075"/>
        <w:gridCol w:w="1006"/>
      </w:tblGrid>
      <w:tr w:rsidR="00EC6C9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Наименова-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ние котельной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7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Существу-</w:t>
            </w:r>
          </w:p>
          <w:p w:rsidR="00EC6C91" w:rsidRDefault="00A45375">
            <w:pPr>
              <w:pStyle w:val="Standard"/>
              <w:ind w:left="-107" w:right="-108"/>
              <w:jc w:val="center"/>
              <w:rPr>
                <w:szCs w:val="24"/>
              </w:rPr>
            </w:pPr>
            <w:r>
              <w:rPr>
                <w:szCs w:val="24"/>
              </w:rPr>
              <w:t>ющие</w:t>
            </w:r>
          </w:p>
          <w:p w:rsidR="00EC6C91" w:rsidRDefault="00A45375">
            <w:pPr>
              <w:pStyle w:val="Standard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котлы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Тепловая нагрузка</w:t>
            </w: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Отпуск тепловой энергии</w:t>
            </w:r>
          </w:p>
        </w:tc>
        <w:tc>
          <w:tcPr>
            <w:tcW w:w="2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Предлагаемые к установке котлы</w:t>
            </w:r>
          </w:p>
        </w:tc>
        <w:tc>
          <w:tcPr>
            <w:tcW w:w="2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потребления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Затраты по замене </w:t>
            </w:r>
            <w:r>
              <w:rPr>
                <w:szCs w:val="24"/>
              </w:rPr>
              <w:t>котлов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15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  <w:tc>
          <w:tcPr>
            <w:tcW w:w="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ФОТ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топлива</w:t>
            </w: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во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Гкал/ч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Гкал/год</w:t>
            </w:r>
          </w:p>
        </w:tc>
        <w:tc>
          <w:tcPr>
            <w:tcW w:w="1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000000" w:rsidRDefault="00A45375"/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103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п. Сухоногово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ТВГ-4Р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11542,74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КВ-ГМ-2,32</w:t>
            </w:r>
          </w:p>
          <w:p w:rsidR="00EC6C91" w:rsidRDefault="00A4537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EC6C91" w:rsidRDefault="00A4537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КВ-ГМ-0,75</w:t>
            </w: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EC6C91" w:rsidRDefault="00A45375">
            <w:pPr>
              <w:pStyle w:val="Standard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C6C91" w:rsidRDefault="00EC6C91">
            <w:pPr>
              <w:pStyle w:val="Standard"/>
              <w:ind w:right="-38"/>
              <w:jc w:val="center"/>
              <w:rPr>
                <w:szCs w:val="24"/>
              </w:rPr>
            </w:pPr>
          </w:p>
          <w:p w:rsidR="00EC6C91" w:rsidRDefault="00A45375">
            <w:pPr>
              <w:pStyle w:val="Standard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425,4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362,1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EC6C91">
            <w:pPr>
              <w:pStyle w:val="Standard"/>
              <w:ind w:left="-108" w:right="-109"/>
              <w:jc w:val="center"/>
              <w:rPr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EC6C91">
            <w:pPr>
              <w:pStyle w:val="Standard"/>
              <w:ind w:left="-108" w:right="-38"/>
              <w:jc w:val="center"/>
              <w:rPr>
                <w:color w:val="FF0000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ind w:left="-108" w:right="-3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425,4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362,1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</w:tr>
    </w:tbl>
    <w:p w:rsidR="00EC6C91" w:rsidRDefault="00EC6C91">
      <w:pPr>
        <w:pStyle w:val="Standard"/>
        <w:spacing w:before="120"/>
        <w:ind w:firstLine="567"/>
        <w:jc w:val="right"/>
      </w:pPr>
    </w:p>
    <w:p w:rsidR="00EC6C91" w:rsidRDefault="00EC6C91">
      <w:pPr>
        <w:pStyle w:val="Standard"/>
        <w:spacing w:before="120"/>
        <w:ind w:firstLine="567"/>
        <w:jc w:val="right"/>
      </w:pPr>
    </w:p>
    <w:p w:rsidR="00EC6C91" w:rsidRDefault="00EC6C91">
      <w:pPr>
        <w:pStyle w:val="Standard"/>
        <w:spacing w:before="120"/>
        <w:ind w:firstLine="567"/>
        <w:jc w:val="right"/>
      </w:pPr>
    </w:p>
    <w:p w:rsidR="00EC6C91" w:rsidRDefault="00EC6C91">
      <w:pPr>
        <w:pStyle w:val="Standard"/>
        <w:spacing w:before="120"/>
        <w:ind w:firstLine="567"/>
        <w:jc w:val="right"/>
      </w:pPr>
    </w:p>
    <w:p w:rsidR="00EC6C91" w:rsidRDefault="00A45375">
      <w:pPr>
        <w:pStyle w:val="Standard"/>
        <w:spacing w:before="120"/>
        <w:ind w:firstLine="567"/>
        <w:jc w:val="right"/>
      </w:pPr>
      <w:r>
        <w:lastRenderedPageBreak/>
        <w:t>Таблица 4.1.2</w:t>
      </w:r>
    </w:p>
    <w:p w:rsidR="00EC6C91" w:rsidRDefault="00A45375">
      <w:pPr>
        <w:pStyle w:val="Standard"/>
        <w:tabs>
          <w:tab w:val="left" w:pos="0"/>
        </w:tabs>
        <w:spacing w:after="120"/>
        <w:jc w:val="center"/>
      </w:pPr>
      <w:r>
        <w:t>Расчет эффективности реконструкции муниципальных котельных. Замена тепловой изоляции теплосетей.</w:t>
      </w:r>
    </w:p>
    <w:tbl>
      <w:tblPr>
        <w:tblW w:w="10196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1"/>
        <w:gridCol w:w="1488"/>
        <w:gridCol w:w="1130"/>
        <w:gridCol w:w="1527"/>
        <w:gridCol w:w="1125"/>
        <w:gridCol w:w="958"/>
        <w:gridCol w:w="1817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котельной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Протяжен-ность тепловых сетей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Тепловые потери в сетях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тепловых потерь</w:t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потребления топлива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Затраты по замене теплоизоляции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Гкал/год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Гкал/год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 у.т./год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  <w:szCs w:val="24"/>
                <w:shd w:val="clear" w:color="auto" w:fill="FFFF0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Сухоногово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5444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3727,9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1118,37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673,8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2146,8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3609,3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5444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3727,9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1118,37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673,8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2146,8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3609,3</w:t>
            </w:r>
          </w:p>
        </w:tc>
      </w:tr>
    </w:tbl>
    <w:p w:rsidR="00EC6C91" w:rsidRDefault="00EC6C91">
      <w:pPr>
        <w:pStyle w:val="Standard"/>
        <w:tabs>
          <w:tab w:val="left" w:pos="375"/>
        </w:tabs>
        <w:ind w:firstLine="425"/>
        <w:jc w:val="center"/>
      </w:pPr>
    </w:p>
    <w:p w:rsidR="00EC6C91" w:rsidRDefault="00EC6C91">
      <w:pPr>
        <w:pStyle w:val="Standard"/>
        <w:tabs>
          <w:tab w:val="left" w:pos="375"/>
        </w:tabs>
        <w:ind w:firstLine="425"/>
        <w:jc w:val="center"/>
        <w:rPr>
          <w:sz w:val="20"/>
          <w:szCs w:val="20"/>
        </w:rPr>
      </w:pPr>
    </w:p>
    <w:p w:rsidR="00EC6C91" w:rsidRDefault="00A45375">
      <w:pPr>
        <w:pStyle w:val="Standard"/>
        <w:spacing w:before="120"/>
        <w:ind w:firstLine="567"/>
        <w:jc w:val="right"/>
      </w:pPr>
      <w:r>
        <w:t>Таблица 4.1.3</w:t>
      </w:r>
    </w:p>
    <w:p w:rsidR="00EC6C91" w:rsidRDefault="00A45375">
      <w:pPr>
        <w:pStyle w:val="Standard"/>
        <w:tabs>
          <w:tab w:val="left" w:pos="375"/>
        </w:tabs>
        <w:spacing w:after="120"/>
        <w:ind w:firstLine="425"/>
        <w:jc w:val="center"/>
      </w:pPr>
      <w:r>
        <w:t xml:space="preserve">Расчет </w:t>
      </w:r>
      <w:r>
        <w:t>эффективности реконструкции котельных. Замена сетевых насосов</w:t>
      </w:r>
    </w:p>
    <w:tbl>
      <w:tblPr>
        <w:tblW w:w="10257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512"/>
        <w:gridCol w:w="636"/>
        <w:gridCol w:w="788"/>
        <w:gridCol w:w="1874"/>
        <w:gridCol w:w="617"/>
        <w:gridCol w:w="43"/>
        <w:gridCol w:w="559"/>
        <w:gridCol w:w="966"/>
        <w:gridCol w:w="874"/>
        <w:gridCol w:w="1063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котельной</w:t>
            </w:r>
          </w:p>
        </w:tc>
        <w:tc>
          <w:tcPr>
            <w:tcW w:w="2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Существующие используемые сетевые насосы</w:t>
            </w:r>
          </w:p>
        </w:tc>
        <w:tc>
          <w:tcPr>
            <w:tcW w:w="3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Предлагаемый к установке насос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потребления электроэнергии в год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Затраты по замене насосов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A45375"/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кВт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9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кВт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9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9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EC6C91" w:rsidRDefault="00A45375">
            <w:pPr>
              <w:pStyle w:val="Standard"/>
              <w:ind w:left="-109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кВт*ч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МУП «Коммунсервис»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п. Сухоно-гово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Сетевой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К100/65/250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37" w:right="-78"/>
              <w:jc w:val="center"/>
              <w:rPr>
                <w:szCs w:val="24"/>
              </w:rPr>
            </w:pPr>
            <w:r>
              <w:rPr>
                <w:szCs w:val="24"/>
              </w:rPr>
              <w:t>К150-125-400/4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426,91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1816,4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236,01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51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Сетевой</w:t>
            </w:r>
          </w:p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К100/65/250</w:t>
            </w:r>
          </w:p>
        </w:tc>
        <w:tc>
          <w:tcPr>
            <w:tcW w:w="6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К150-125-400/4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(резервный)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512" w:type="dxa"/>
            <w:vMerge/>
            <w:tcBorders>
              <w:top w:val="single" w:sz="4" w:space="0" w:color="000001"/>
              <w:lef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6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КМ 80-65-160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(на ГВС в неотоп.период)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Рециркуляционный</w:t>
            </w:r>
          </w:p>
          <w:p w:rsidR="00EC6C91" w:rsidRDefault="00A4537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К100-65-200 (К90/30)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 100-80-160А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45375"/>
        </w:tc>
      </w:tr>
    </w:tbl>
    <w:p w:rsidR="00EC6C91" w:rsidRDefault="00A45375">
      <w:pPr>
        <w:pStyle w:val="Standard"/>
        <w:tabs>
          <w:tab w:val="left" w:pos="375"/>
        </w:tabs>
        <w:spacing w:before="120"/>
        <w:ind w:firstLine="567"/>
        <w:jc w:val="both"/>
      </w:pPr>
      <w:r>
        <w:rPr>
          <w:bCs/>
          <w:szCs w:val="24"/>
        </w:rPr>
        <w:t>МУП «Коммунсервис</w:t>
      </w:r>
      <w:r>
        <w:rPr>
          <w:b/>
          <w:bCs/>
          <w:szCs w:val="24"/>
        </w:rPr>
        <w:t>»</w:t>
      </w:r>
      <w:r>
        <w:rPr>
          <w:bCs/>
        </w:rPr>
        <w:t xml:space="preserve"> обеспечивает теплоснабжение более 50 объектов. Тепловые сети подлежат наладке гидравлического режима, особенно после уменьшения мощности сетевого насоса. В соответствии с Прейскурантом №26-05-204-01, ч.3, книга 2 «Наладка энергетического оборудования» и у</w:t>
      </w:r>
      <w:r>
        <w:rPr>
          <w:bCs/>
        </w:rPr>
        <w:t>твержденным индексом к данному прейскуранту в размере 48,3 общая стоимость работ по расчету гидравлического режима и оказанию помощи по его внедрению будет составлять 145,6 тыс. руб. Эти необходимые затраты также следует учитывать при определении объема ин</w:t>
      </w:r>
      <w:r>
        <w:rPr>
          <w:bCs/>
        </w:rPr>
        <w:t>вестиций и их эффективности.</w:t>
      </w:r>
    </w:p>
    <w:p w:rsidR="00EC6C91" w:rsidRDefault="00EC6C91">
      <w:pPr>
        <w:pStyle w:val="Standard"/>
        <w:ind w:firstLine="567"/>
        <w:jc w:val="right"/>
      </w:pPr>
    </w:p>
    <w:p w:rsidR="00EC6C91" w:rsidRDefault="00EC6C91">
      <w:pPr>
        <w:pStyle w:val="Standard"/>
        <w:ind w:firstLine="567"/>
        <w:jc w:val="right"/>
      </w:pPr>
    </w:p>
    <w:p w:rsidR="00EC6C91" w:rsidRDefault="00EC6C91">
      <w:pPr>
        <w:pStyle w:val="Standard"/>
        <w:ind w:firstLine="567"/>
        <w:jc w:val="right"/>
      </w:pPr>
    </w:p>
    <w:p w:rsidR="00EC6C91" w:rsidRDefault="00EC6C91">
      <w:pPr>
        <w:pStyle w:val="Standard"/>
        <w:ind w:firstLine="567"/>
        <w:jc w:val="right"/>
      </w:pPr>
    </w:p>
    <w:p w:rsidR="00EC6C91" w:rsidRDefault="00EC6C91">
      <w:pPr>
        <w:pStyle w:val="Standard"/>
        <w:ind w:firstLine="567"/>
        <w:jc w:val="right"/>
      </w:pPr>
    </w:p>
    <w:p w:rsidR="00EC6C91" w:rsidRDefault="00EC6C91">
      <w:pPr>
        <w:pStyle w:val="Standard"/>
        <w:ind w:firstLine="567"/>
        <w:jc w:val="right"/>
      </w:pPr>
    </w:p>
    <w:p w:rsidR="00EC6C91" w:rsidRDefault="00A45375">
      <w:pPr>
        <w:pStyle w:val="Standard"/>
        <w:ind w:firstLine="567"/>
        <w:jc w:val="right"/>
      </w:pPr>
      <w:r>
        <w:t>Таблица 4.1.4</w:t>
      </w:r>
    </w:p>
    <w:p w:rsidR="00EC6C91" w:rsidRDefault="00A45375">
      <w:pPr>
        <w:pStyle w:val="Standard"/>
        <w:tabs>
          <w:tab w:val="left" w:pos="375"/>
        </w:tabs>
        <w:spacing w:after="120"/>
        <w:ind w:firstLine="425"/>
        <w:jc w:val="center"/>
      </w:pPr>
      <w:r>
        <w:lastRenderedPageBreak/>
        <w:t>Расчет эффективности реконструкции котельных. Сводная таблица.</w:t>
      </w:r>
    </w:p>
    <w:tbl>
      <w:tblPr>
        <w:tblW w:w="10190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6"/>
        <w:gridCol w:w="938"/>
        <w:gridCol w:w="998"/>
        <w:gridCol w:w="837"/>
        <w:gridCol w:w="955"/>
        <w:gridCol w:w="1034"/>
        <w:gridCol w:w="1320"/>
        <w:gridCol w:w="826"/>
        <w:gridCol w:w="827"/>
        <w:gridCol w:w="829"/>
      </w:tblGrid>
      <w:tr w:rsidR="00EC6C91">
        <w:tblPrEx>
          <w:tblCellMar>
            <w:top w:w="0" w:type="dxa"/>
            <w:bottom w:w="0" w:type="dxa"/>
          </w:tblCellMar>
        </w:tblPrEx>
        <w:trPr>
          <w:cantSplit/>
          <w:trHeight w:val="2376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котельной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35" w:right="113"/>
              <w:jc w:val="center"/>
              <w:rPr>
                <w:szCs w:val="24"/>
              </w:rPr>
            </w:pPr>
            <w:r>
              <w:rPr>
                <w:szCs w:val="24"/>
              </w:rPr>
              <w:t>Затраты по замене котлов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Затраты по замене теплоизоляции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Затраты по замене насосов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 затрат*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ФОТ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потребления топлива</w:t>
            </w: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Сокращение потребления электроэнергии в год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ind w:left="-11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 экономия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EC6C91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тыс.руб.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9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тыс. кВт*ч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ind w:left="-108" w:right="-107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Котельная</w:t>
            </w:r>
          </w:p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п.Сухоногово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3609,3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236,01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9065,31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425,4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2508,9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426,91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1816,4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4750,7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3609,3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236,01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9065,31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425,4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2508,9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426,91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1816,4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4750,7</w:t>
            </w:r>
          </w:p>
        </w:tc>
      </w:tr>
    </w:tbl>
    <w:p w:rsidR="00EC6C91" w:rsidRDefault="00A45375">
      <w:pPr>
        <w:pStyle w:val="Standard"/>
        <w:spacing w:before="120"/>
        <w:jc w:val="both"/>
        <w:rPr>
          <w:szCs w:val="24"/>
        </w:rPr>
      </w:pPr>
      <w:r>
        <w:rPr>
          <w:szCs w:val="24"/>
        </w:rPr>
        <w:t>*с учетом затрат на наладку тепловых сетей в размере 145,6 тыс. руб.</w:t>
      </w:r>
    </w:p>
    <w:p w:rsidR="00EC6C91" w:rsidRDefault="00A45375">
      <w:pPr>
        <w:pStyle w:val="Standard"/>
        <w:spacing w:before="120"/>
        <w:ind w:firstLine="360"/>
      </w:pPr>
      <w:r>
        <w:rPr>
          <w:szCs w:val="24"/>
        </w:rPr>
        <w:t xml:space="preserve">Суммарный объем инвестиций по </w:t>
      </w:r>
      <w:r>
        <w:rPr>
          <w:bCs/>
          <w:szCs w:val="24"/>
        </w:rPr>
        <w:t xml:space="preserve">МУП «Коммунсервис» оценивается в сумму: </w:t>
      </w:r>
      <w:r>
        <w:rPr>
          <w:color w:val="000000"/>
        </w:rPr>
        <w:t xml:space="preserve"> 9065,31</w:t>
      </w:r>
      <w:r>
        <w:rPr>
          <w:bCs/>
          <w:szCs w:val="24"/>
        </w:rPr>
        <w:t xml:space="preserve"> руб.</w:t>
      </w:r>
    </w:p>
    <w:p w:rsidR="00EC6C91" w:rsidRDefault="00A45375">
      <w:pPr>
        <w:pStyle w:val="Standard"/>
        <w:jc w:val="both"/>
      </w:pPr>
      <w:r>
        <w:rPr>
          <w:bCs/>
        </w:rPr>
        <w:t xml:space="preserve">Простой срок окупаемости затрат </w:t>
      </w:r>
      <w:r>
        <w:rPr>
          <w:bCs/>
          <w:szCs w:val="24"/>
        </w:rPr>
        <w:t>составит: Т</w:t>
      </w:r>
      <w:r>
        <w:rPr>
          <w:bCs/>
          <w:szCs w:val="24"/>
          <w:vertAlign w:val="subscript"/>
        </w:rPr>
        <w:t>ок.</w:t>
      </w:r>
      <w:r>
        <w:rPr>
          <w:bCs/>
          <w:szCs w:val="24"/>
        </w:rPr>
        <w:t xml:space="preserve"> = 1,91 года.</w:t>
      </w:r>
    </w:p>
    <w:p w:rsidR="00EC6C91" w:rsidRDefault="00EC6C91">
      <w:pPr>
        <w:pStyle w:val="Standard"/>
        <w:jc w:val="center"/>
        <w:rPr>
          <w:b/>
          <w:szCs w:val="24"/>
        </w:rPr>
      </w:pP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suppressAutoHyphens w:val="0"/>
        <w:rPr>
          <w:szCs w:val="24"/>
        </w:rPr>
      </w:pPr>
    </w:p>
    <w:p w:rsidR="00EC6C91" w:rsidRDefault="00A45375">
      <w:pPr>
        <w:pStyle w:val="Standard"/>
        <w:pageBreakBefore/>
        <w:ind w:left="-142"/>
      </w:pPr>
      <w:r>
        <w:rPr>
          <w:b/>
          <w:sz w:val="28"/>
          <w:szCs w:val="28"/>
        </w:rPr>
        <w:lastRenderedPageBreak/>
        <w:t>5 Инвестиции в строительство, реконструкцию и техническое перевооружение</w:t>
      </w:r>
    </w:p>
    <w:p w:rsidR="00EC6C91" w:rsidRDefault="00A45375">
      <w:pPr>
        <w:pStyle w:val="Standard"/>
        <w:spacing w:before="120" w:after="120"/>
        <w:jc w:val="right"/>
      </w:pPr>
      <w:r>
        <w:t>Таблица 5.1</w:t>
      </w:r>
    </w:p>
    <w:p w:rsidR="00EC6C91" w:rsidRDefault="00A45375">
      <w:pPr>
        <w:pStyle w:val="Standard"/>
        <w:spacing w:after="120"/>
        <w:jc w:val="center"/>
      </w:pPr>
      <w:r>
        <w:t xml:space="preserve">Сводные результаты расчетов </w:t>
      </w:r>
      <w:r>
        <w:rPr>
          <w:color w:val="000000"/>
          <w:szCs w:val="24"/>
        </w:rPr>
        <w:t xml:space="preserve">необходимого объема финансирования </w:t>
      </w:r>
      <w:r>
        <w:t>строительства, реконструкции и технического перевооружения источников тепловой энергии и те</w:t>
      </w:r>
      <w:r>
        <w:t>пловых сетей</w:t>
      </w:r>
    </w:p>
    <w:tbl>
      <w:tblPr>
        <w:tblW w:w="1020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2409"/>
        <w:gridCol w:w="1700"/>
        <w:gridCol w:w="2862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теплоснабжающей организации, виды работ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Необходимый объем финансирования,</w:t>
            </w:r>
          </w:p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Период внедрения, годы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Примечание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двух газовых котлов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КПД и уменьшение численности </w:t>
            </w:r>
            <w:r>
              <w:rPr>
                <w:color w:val="000000"/>
              </w:rPr>
              <w:t>персонала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насосов на котельной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236,01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потребления электроэнергии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Наладка тепловых сетей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Предшествует замене насосов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тепловой изоляции теплосетей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3609,3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тепловых потерь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9065,31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EC6C91">
            <w:pPr>
              <w:pStyle w:val="Standard"/>
              <w:jc w:val="center"/>
              <w:rPr>
                <w:color w:val="000000"/>
              </w:rPr>
            </w:pPr>
          </w:p>
        </w:tc>
      </w:tr>
    </w:tbl>
    <w:p w:rsidR="00EC6C91" w:rsidRDefault="00A45375">
      <w:pPr>
        <w:pStyle w:val="Standard"/>
        <w:spacing w:before="120" w:after="120"/>
        <w:ind w:firstLine="567"/>
        <w:jc w:val="both"/>
      </w:pPr>
      <w:r>
        <w:rPr>
          <w:color w:val="000000"/>
        </w:rPr>
        <w:t xml:space="preserve">Как следует из таблицы 5.1 общий объем финансирования в </w:t>
      </w:r>
      <w:r>
        <w:t xml:space="preserve">строительство, реконструкцию и техническое перевооружение источников тепловой энергии и тепловых сетей оценивается в </w:t>
      </w:r>
      <w:r>
        <w:rPr>
          <w:color w:val="000000"/>
        </w:rPr>
        <w:t>9065,31</w:t>
      </w:r>
      <w:r>
        <w:t>тыс. руб.</w:t>
      </w:r>
    </w:p>
    <w:p w:rsidR="00EC6C91" w:rsidRDefault="00A45375">
      <w:pPr>
        <w:pStyle w:val="Standard"/>
        <w:spacing w:after="120"/>
        <w:ind w:firstLine="567"/>
        <w:jc w:val="both"/>
      </w:pPr>
      <w:r>
        <w:t xml:space="preserve">Эффективность инвестиций на стадии разработки схемы </w:t>
      </w:r>
      <w:r>
        <w:t>теплоснабжения с достаточной точностью может быть определена по простому сроку окупаемости:</w:t>
      </w:r>
    </w:p>
    <w:p w:rsidR="00EC6C91" w:rsidRDefault="00A45375">
      <w:pPr>
        <w:pStyle w:val="Standard"/>
        <w:spacing w:after="120"/>
        <w:ind w:firstLine="567"/>
        <w:jc w:val="right"/>
      </w:pPr>
      <w:r>
        <w:t>, лет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(1)</w:t>
      </w:r>
    </w:p>
    <w:p w:rsidR="00EC6C91" w:rsidRDefault="00A45375">
      <w:pPr>
        <w:pStyle w:val="Standard"/>
        <w:ind w:left="426" w:hanging="426"/>
        <w:jc w:val="both"/>
      </w:pPr>
      <w:r>
        <w:t>где З</w:t>
      </w:r>
      <w:r>
        <w:rPr>
          <w:vertAlign w:val="subscript"/>
        </w:rPr>
        <w:t>сумм.</w:t>
      </w:r>
      <w:r>
        <w:t xml:space="preserve"> - суммарные затраты на внедрение инвестиционного проекта и последующие эксплуатационные затраты на содержание установленного оборудования</w:t>
      </w:r>
      <w:r>
        <w:t xml:space="preserve"> и систем автоматизации;</w:t>
      </w:r>
    </w:p>
    <w:p w:rsidR="00EC6C91" w:rsidRDefault="00A45375">
      <w:pPr>
        <w:pStyle w:val="Standard"/>
        <w:ind w:left="426"/>
        <w:jc w:val="both"/>
      </w:pPr>
      <w:r>
        <w:t>Э</w:t>
      </w:r>
      <w:r>
        <w:rPr>
          <w:vertAlign w:val="subscript"/>
        </w:rPr>
        <w:t>сумм.</w:t>
      </w:r>
      <w:r>
        <w:t xml:space="preserve"> – суммарный годовой экономический эффект от внедрения инвестпроекта.</w:t>
      </w:r>
    </w:p>
    <w:p w:rsidR="00EC6C91" w:rsidRDefault="00A45375">
      <w:pPr>
        <w:pStyle w:val="Standard"/>
        <w:ind w:firstLine="567"/>
        <w:jc w:val="both"/>
      </w:pPr>
      <w:r>
        <w:t>Более точно эффективность инвестиций должна быть рассчитана на стадии подготовки технико-экономического обоснования и проектирования, где будут учтены дина</w:t>
      </w:r>
      <w:r>
        <w:t>мика изменения цен и тарифов на энергоносители, проценты за пользование кредитом и другие факторы.</w:t>
      </w:r>
    </w:p>
    <w:p w:rsidR="00EC6C91" w:rsidRDefault="00A45375">
      <w:pPr>
        <w:pStyle w:val="Standard"/>
        <w:jc w:val="right"/>
      </w:pPr>
      <w:r>
        <w:t>Таблица 5.2</w:t>
      </w:r>
    </w:p>
    <w:p w:rsidR="00EC6C91" w:rsidRDefault="00A45375">
      <w:pPr>
        <w:pStyle w:val="Standard"/>
        <w:spacing w:after="120"/>
        <w:jc w:val="center"/>
      </w:pPr>
      <w:r>
        <w:t>Расчет эффективности инвестиций</w:t>
      </w:r>
    </w:p>
    <w:tbl>
      <w:tblPr>
        <w:tblW w:w="1018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2175"/>
        <w:gridCol w:w="1760"/>
        <w:gridCol w:w="1721"/>
      </w:tblGrid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теплоснабжающей организации, виды работ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финансирования, тыс. руб.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Эффект от внедрения </w:t>
            </w:r>
            <w:r>
              <w:rPr>
                <w:color w:val="000000"/>
                <w:szCs w:val="24"/>
              </w:rPr>
              <w:t>мероприятий, тыс. руб./год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Простой срок окупаемости, лет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МУП «Коммунсервис»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EC6C91">
            <w:pPr>
              <w:pStyle w:val="Standard"/>
              <w:jc w:val="both"/>
              <w:rPr>
                <w:color w:val="000000"/>
              </w:rPr>
            </w:pP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двух газовых котлов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5074,4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787,5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насосов на котельной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236,01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</w:pPr>
            <w:r>
              <w:t>1816,4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0,13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Наладка тепловых сетей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145,6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Замена тепловой изоляции теплосетей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3609,3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2146,8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1,68</w:t>
            </w:r>
          </w:p>
        </w:tc>
      </w:tr>
      <w:tr w:rsidR="00EC6C91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91" w:rsidRDefault="00A4537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9065,31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4750,7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91" w:rsidRDefault="00A45375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1,91</w:t>
            </w:r>
          </w:p>
        </w:tc>
      </w:tr>
    </w:tbl>
    <w:p w:rsidR="00EC6C91" w:rsidRDefault="00A45375">
      <w:pPr>
        <w:pStyle w:val="Standard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Как следует из приведенных в таблице 5.2 расчетов, средний срок окупаемости инвестиций по объектам теплоснабжения сельского поселения составляет 1,91 года, что является достаточно привлекательным для инвесторов.</w:t>
      </w:r>
    </w:p>
    <w:p w:rsidR="00EC6C91" w:rsidRDefault="00A45375">
      <w:pPr>
        <w:pStyle w:val="Standard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</w:t>
      </w:r>
      <w:r>
        <w:rPr>
          <w:b/>
          <w:sz w:val="28"/>
          <w:szCs w:val="28"/>
        </w:rPr>
        <w:t>Решение об определении единой теплоснабжающей организации</w:t>
      </w:r>
    </w:p>
    <w:p w:rsidR="00EC6C91" w:rsidRDefault="00A45375">
      <w:pPr>
        <w:pStyle w:val="Standard"/>
        <w:spacing w:before="120"/>
        <w:ind w:firstLine="567"/>
        <w:jc w:val="both"/>
      </w:pPr>
      <w:r>
        <w:rPr>
          <w:color w:val="000000"/>
          <w:szCs w:val="24"/>
        </w:rPr>
        <w:t xml:space="preserve">Кандидатом на роль единой теплоснабжающей организации Костромского муниципального района является теплоснабжающая организация - </w:t>
      </w:r>
      <w:r>
        <w:rPr>
          <w:bCs/>
          <w:szCs w:val="24"/>
        </w:rPr>
        <w:t>МУП «Коммунсервис».</w:t>
      </w:r>
    </w:p>
    <w:p w:rsidR="00EC6C91" w:rsidRDefault="00A45375">
      <w:pPr>
        <w:pStyle w:val="Standard"/>
        <w:ind w:firstLine="567"/>
        <w:jc w:val="both"/>
        <w:rPr>
          <w:bCs/>
          <w:szCs w:val="24"/>
        </w:rPr>
      </w:pPr>
      <w:r>
        <w:rPr>
          <w:bCs/>
          <w:szCs w:val="24"/>
        </w:rPr>
        <w:t>МУП «Коммунсервис» целесообразно сохранить в качес</w:t>
      </w:r>
      <w:r>
        <w:rPr>
          <w:bCs/>
          <w:szCs w:val="24"/>
        </w:rPr>
        <w:t>тве теплоснабжающей организации по эксплуатации котельных и тепловых сетей сельских поселений.</w:t>
      </w:r>
    </w:p>
    <w:p w:rsidR="00EC6C91" w:rsidRDefault="00A45375">
      <w:pPr>
        <w:pStyle w:val="Standard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Создание единой теплоснабжающей организации позволит: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повысить уровень управления системой теплоснабжения муниципального района;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повысить уровень технической</w:t>
      </w:r>
      <w:r>
        <w:rPr>
          <w:color w:val="000000"/>
          <w:szCs w:val="24"/>
        </w:rPr>
        <w:t xml:space="preserve"> эксплуатации котельных и тепловых сетей поселения;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создать единую аварийно-диспетчерскую службу;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закрыть ряд нерентабельных мелких котельных и тем самым оптимизировать затраты на производство и передачу тепловой энергии;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замедлить рост тарифов на т</w:t>
      </w:r>
      <w:r>
        <w:rPr>
          <w:color w:val="000000"/>
          <w:szCs w:val="24"/>
        </w:rPr>
        <w:t>епловую энергию и снизить затраты бюджета на дотации и меры социальной поддержки населения;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повысить надежность и качество услуг по теплоснабжению потребителей;</w:t>
      </w:r>
    </w:p>
    <w:p w:rsidR="00EC6C91" w:rsidRDefault="00A45375">
      <w:pPr>
        <w:pStyle w:val="Standard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подготовить реальные инвестиционные проекты и привлечь средства инвесторов в реконструкцию </w:t>
      </w:r>
      <w:r>
        <w:rPr>
          <w:color w:val="000000"/>
          <w:szCs w:val="24"/>
        </w:rPr>
        <w:t>теплоисточников и тепловых сетей.</w:t>
      </w:r>
    </w:p>
    <w:p w:rsidR="00EC6C91" w:rsidRDefault="00A45375">
      <w:pPr>
        <w:pStyle w:val="Standard"/>
        <w:spacing w:after="120"/>
        <w:ind w:firstLine="600"/>
        <w:rPr>
          <w:szCs w:val="24"/>
        </w:rPr>
      </w:pPr>
      <w:r>
        <w:rPr>
          <w:szCs w:val="24"/>
        </w:rPr>
        <w:t>Решение об определении единой теплоснабжающей организации может быть принято в процессе рассмотрения настоящего документа руководством сельского поселения и муниципального района.</w:t>
      </w:r>
    </w:p>
    <w:p w:rsidR="00EC6C91" w:rsidRDefault="00A4537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Решение о распределении тепловой </w:t>
      </w:r>
      <w:r>
        <w:rPr>
          <w:b/>
          <w:sz w:val="28"/>
          <w:szCs w:val="28"/>
        </w:rPr>
        <w:t>нагрузки между источниками тепловой энергии</w:t>
      </w:r>
    </w:p>
    <w:p w:rsidR="00EC6C91" w:rsidRDefault="00A45375">
      <w:pPr>
        <w:pStyle w:val="Standard"/>
        <w:ind w:firstLine="601"/>
        <w:jc w:val="both"/>
        <w:rPr>
          <w:szCs w:val="24"/>
        </w:rPr>
      </w:pPr>
      <w:r>
        <w:rPr>
          <w:szCs w:val="24"/>
        </w:rPr>
        <w:t>Распределение тепловой нагрузки между источниками тепловой энергии производить по факту подключения потребителей тепловой энергии к тепловым сетям теплоисточников.</w:t>
      </w:r>
    </w:p>
    <w:p w:rsidR="00EC6C91" w:rsidRDefault="00A45375">
      <w:pPr>
        <w:pStyle w:val="Standard"/>
        <w:ind w:firstLine="601"/>
        <w:jc w:val="both"/>
        <w:rPr>
          <w:szCs w:val="24"/>
        </w:rPr>
      </w:pPr>
      <w:r>
        <w:rPr>
          <w:szCs w:val="24"/>
        </w:rPr>
        <w:t>Выдачу технических условий на подключение новых</w:t>
      </w:r>
      <w:r>
        <w:rPr>
          <w:szCs w:val="24"/>
        </w:rPr>
        <w:t xml:space="preserve"> потребителей тепловой энергии производить с учетом располагаемой мощности теплоисточников и пропускной способности трубопроводов тепловых сетей.</w:t>
      </w:r>
    </w:p>
    <w:p w:rsidR="00EC6C91" w:rsidRDefault="00A45375">
      <w:pPr>
        <w:pStyle w:val="Standard"/>
        <w:ind w:firstLine="601"/>
        <w:jc w:val="both"/>
        <w:rPr>
          <w:szCs w:val="24"/>
        </w:rPr>
      </w:pPr>
      <w:r>
        <w:rPr>
          <w:szCs w:val="24"/>
        </w:rPr>
        <w:t xml:space="preserve">Перераспределение тепловой нагрузки между источниками тепловой энергии производить в соответствии с разделами </w:t>
      </w:r>
      <w:r>
        <w:rPr>
          <w:szCs w:val="24"/>
        </w:rPr>
        <w:t>3 и 4 Утверждаемой части настоящей схемы теплоснабжения.</w:t>
      </w: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A45375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8 Решение по бесхозяйным тепловым сетям</w:t>
      </w:r>
    </w:p>
    <w:p w:rsidR="00EC6C91" w:rsidRDefault="00A45375">
      <w:pPr>
        <w:pStyle w:val="Standard"/>
        <w:ind w:firstLine="567"/>
        <w:jc w:val="both"/>
      </w:pPr>
      <w:r>
        <w:rPr>
          <w:bCs/>
        </w:rPr>
        <w:t xml:space="preserve">Все тепловые сети и котельная, находящиеся на территории Чернопенского сельского поселения,  являются собственностью Костромского муниципального района, </w:t>
      </w:r>
      <w:r>
        <w:rPr>
          <w:bCs/>
        </w:rPr>
        <w:t>администрация которого, в свою очередь, передала их в хозяйственное ведение и в эксплуатационную ответственность теплоснабжающей организации – МУП «Коммунсервис».</w:t>
      </w:r>
    </w:p>
    <w:p w:rsidR="00EC6C91" w:rsidRDefault="00A45375">
      <w:pPr>
        <w:pStyle w:val="Standard"/>
        <w:ind w:firstLine="600"/>
        <w:jc w:val="both"/>
      </w:pPr>
      <w:r>
        <w:rPr>
          <w:bCs/>
          <w:szCs w:val="24"/>
        </w:rPr>
        <w:t>В процессе эксплуатации теплосетевого хозяйства бесхозяйных тепловых сетей не установлено. Е</w:t>
      </w:r>
      <w:r>
        <w:rPr>
          <w:bCs/>
          <w:szCs w:val="24"/>
        </w:rPr>
        <w:t xml:space="preserve">сли в процессе эксплуатации тепловых сетей будут выявлены их бесхозяйные участки, то они должны быть проинвентаризированы, </w:t>
      </w:r>
      <w:r>
        <w:rPr>
          <w:szCs w:val="24"/>
        </w:rPr>
        <w:t>приняты на баланс и переданы в аренду эксплуатирующим теплоснабжающим организациям.</w:t>
      </w: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ind w:firstLine="600"/>
        <w:rPr>
          <w:szCs w:val="24"/>
        </w:rPr>
      </w:pPr>
    </w:p>
    <w:p w:rsidR="00EC6C91" w:rsidRDefault="00EC6C91">
      <w:pPr>
        <w:pStyle w:val="Standard"/>
        <w:ind w:firstLine="600"/>
      </w:pPr>
    </w:p>
    <w:sectPr w:rsidR="00EC6C91">
      <w:headerReference w:type="default" r:id="rId12"/>
      <w:pgSz w:w="11906" w:h="16838"/>
      <w:pgMar w:top="851" w:right="567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75" w:rsidRDefault="00A45375">
      <w:r>
        <w:separator/>
      </w:r>
    </w:p>
  </w:endnote>
  <w:endnote w:type="continuationSeparator" w:id="0">
    <w:p w:rsidR="00A45375" w:rsidRDefault="00A4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75" w:rsidRDefault="00A45375">
      <w:r>
        <w:rPr>
          <w:color w:val="000000"/>
        </w:rPr>
        <w:separator/>
      </w:r>
    </w:p>
  </w:footnote>
  <w:footnote w:type="continuationSeparator" w:id="0">
    <w:p w:rsidR="00A45375" w:rsidRDefault="00A4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8" w:rsidRDefault="00A4537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8" w:rsidRDefault="00A453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8" w:rsidRDefault="00A4537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8" w:rsidRDefault="00A4537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8" w:rsidRDefault="00A45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56"/>
    <w:multiLevelType w:val="multilevel"/>
    <w:tmpl w:val="1E1EEC96"/>
    <w:styleLink w:val="WWNum5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">
    <w:nsid w:val="085B2F72"/>
    <w:multiLevelType w:val="multilevel"/>
    <w:tmpl w:val="B3ECE56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161AB"/>
    <w:multiLevelType w:val="multilevel"/>
    <w:tmpl w:val="343E79BA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CD0526"/>
    <w:multiLevelType w:val="multilevel"/>
    <w:tmpl w:val="7BAE6664"/>
    <w:styleLink w:val="WWNum1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935F4E"/>
    <w:multiLevelType w:val="multilevel"/>
    <w:tmpl w:val="E564C796"/>
    <w:styleLink w:val="WWNum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AE55C1C"/>
    <w:multiLevelType w:val="multilevel"/>
    <w:tmpl w:val="D1DEA75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FB3ADF"/>
    <w:multiLevelType w:val="multilevel"/>
    <w:tmpl w:val="5E6E3F70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B158FA"/>
    <w:multiLevelType w:val="multilevel"/>
    <w:tmpl w:val="7A64EFC8"/>
    <w:styleLink w:val="WWNum10"/>
    <w:lvl w:ilvl="0">
      <w:start w:val="1"/>
      <w:numFmt w:val="decimal"/>
      <w:lvlText w:val="%1"/>
      <w:lvlJc w:val="left"/>
      <w:rPr>
        <w:color w:val="00000A"/>
      </w:rPr>
    </w:lvl>
    <w:lvl w:ilvl="1">
      <w:start w:val="9"/>
      <w:numFmt w:val="decimal"/>
      <w:lvlText w:val="%1.%2"/>
      <w:lvlJc w:val="left"/>
      <w:rPr>
        <w:color w:val="00000A"/>
      </w:rPr>
    </w:lvl>
    <w:lvl w:ilvl="2">
      <w:start w:val="1"/>
      <w:numFmt w:val="decimal"/>
      <w:lvlText w:val="%1.%2.%3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color w:val="00000A"/>
      </w:rPr>
    </w:lvl>
    <w:lvl w:ilvl="4">
      <w:start w:val="1"/>
      <w:numFmt w:val="decimal"/>
      <w:lvlText w:val="%1.%2.%3.%4.%5"/>
      <w:lvlJc w:val="left"/>
      <w:rPr>
        <w:color w:val="00000A"/>
      </w:rPr>
    </w:lvl>
    <w:lvl w:ilvl="5">
      <w:start w:val="1"/>
      <w:numFmt w:val="decimal"/>
      <w:lvlText w:val="%1.%2.%3.%4.%5.%6"/>
      <w:lvlJc w:val="left"/>
      <w:rPr>
        <w:color w:val="00000A"/>
      </w:rPr>
    </w:lvl>
    <w:lvl w:ilvl="6">
      <w:start w:val="1"/>
      <w:numFmt w:val="decimal"/>
      <w:lvlText w:val="%1.%2.%3.%4.%5.%6.%7"/>
      <w:lvlJc w:val="left"/>
      <w:rPr>
        <w:color w:val="00000A"/>
      </w:rPr>
    </w:lvl>
    <w:lvl w:ilvl="7">
      <w:start w:val="1"/>
      <w:numFmt w:val="decimal"/>
      <w:lvlText w:val="%1.%2.%3.%4.%5.%6.%7.%8"/>
      <w:lvlJc w:val="left"/>
      <w:rPr>
        <w:color w:val="00000A"/>
      </w:rPr>
    </w:lvl>
    <w:lvl w:ilvl="8">
      <w:start w:val="1"/>
      <w:numFmt w:val="decimal"/>
      <w:lvlText w:val="%1.%2.%3.%4.%5.%6.%7.%8.%9"/>
      <w:lvlJc w:val="left"/>
      <w:rPr>
        <w:color w:val="00000A"/>
      </w:rPr>
    </w:lvl>
  </w:abstractNum>
  <w:abstractNum w:abstractNumId="8">
    <w:nsid w:val="3F5B4EAB"/>
    <w:multiLevelType w:val="multilevel"/>
    <w:tmpl w:val="5FFA7842"/>
    <w:styleLink w:val="WWNum13"/>
    <w:lvl w:ilvl="0">
      <w:start w:val="9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CC0272D"/>
    <w:multiLevelType w:val="multilevel"/>
    <w:tmpl w:val="4E9C3E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3EA04C4"/>
    <w:multiLevelType w:val="multilevel"/>
    <w:tmpl w:val="159EADC0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9600670"/>
    <w:multiLevelType w:val="multilevel"/>
    <w:tmpl w:val="41C82A2E"/>
    <w:styleLink w:val="WWNum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2807525"/>
    <w:multiLevelType w:val="multilevel"/>
    <w:tmpl w:val="A5121430"/>
    <w:styleLink w:val="WWNum6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3">
    <w:nsid w:val="7E2F199A"/>
    <w:multiLevelType w:val="multilevel"/>
    <w:tmpl w:val="D818BBB4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C91"/>
    <w:rsid w:val="00534B33"/>
    <w:rsid w:val="00A45375"/>
    <w:rsid w:val="00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  <w:sz w:val="24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Arial" w:eastAsia="Microsoft YaHei" w:hAnsi="Arial" w:cs="Arial"/>
      <w:b/>
      <w:bCs/>
      <w:sz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8">
    <w:name w:val="Название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0">
    <w:name w:val="Указатель8"/>
    <w:basedOn w:val="Standard"/>
    <w:pPr>
      <w:suppressLineNumbers/>
    </w:pPr>
    <w:rPr>
      <w:rFonts w:cs="Mangal"/>
    </w:rPr>
  </w:style>
  <w:style w:type="paragraph" w:customStyle="1" w:styleId="7">
    <w:name w:val="Название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0">
    <w:name w:val="Указатель7"/>
    <w:basedOn w:val="Standard"/>
    <w:pPr>
      <w:suppressLineNumbers/>
    </w:pPr>
    <w:rPr>
      <w:rFonts w:cs="Mangal"/>
    </w:rPr>
  </w:style>
  <w:style w:type="paragraph" w:customStyle="1" w:styleId="6">
    <w:name w:val="Название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Standard"/>
    <w:pPr>
      <w:suppressLineNumbers/>
    </w:pPr>
    <w:rPr>
      <w:rFonts w:cs="Mangal"/>
    </w:rPr>
  </w:style>
  <w:style w:type="paragraph" w:customStyle="1" w:styleId="5">
    <w:name w:val="Название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Standar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a5">
    <w:name w:val="Таблицы (моноширинный)"/>
    <w:basedOn w:val="Standard"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22">
    <w:name w:val="Основной текст с отступом 22"/>
    <w:basedOn w:val="Standard"/>
    <w:pPr>
      <w:ind w:firstLine="561"/>
      <w:jc w:val="both"/>
    </w:pPr>
  </w:style>
  <w:style w:type="paragraph" w:customStyle="1" w:styleId="23">
    <w:name w:val="Основной текст с отступом 23"/>
    <w:basedOn w:val="Standard"/>
    <w:pPr>
      <w:ind w:firstLine="561"/>
      <w:jc w:val="both"/>
    </w:pPr>
  </w:style>
  <w:style w:type="paragraph" w:customStyle="1" w:styleId="Preformat">
    <w:name w:val="Preformat"/>
    <w:pPr>
      <w:widowControl/>
    </w:pPr>
    <w:rPr>
      <w:rFonts w:ascii="Courier New" w:hAnsi="Courier New"/>
    </w:rPr>
  </w:style>
  <w:style w:type="paragraph" w:styleId="a8">
    <w:name w:val="footnote text"/>
    <w:basedOn w:val="Standard"/>
    <w:rPr>
      <w:sz w:val="20"/>
      <w:szCs w:val="20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customStyle="1" w:styleId="ab">
    <w:name w:val="После таблицы"/>
    <w:basedOn w:val="Standard"/>
    <w:pPr>
      <w:suppressAutoHyphens w:val="0"/>
      <w:spacing w:before="120"/>
      <w:ind w:firstLine="567"/>
    </w:pPr>
    <w:rPr>
      <w:rFonts w:cs="Calibri"/>
      <w:szCs w:val="24"/>
      <w:lang w:eastAsia="en-US"/>
    </w:rPr>
  </w:style>
  <w:style w:type="character" w:customStyle="1" w:styleId="WW8Num1z0">
    <w:name w:val="WW8Num1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81">
    <w:name w:val="Основной шрифт абзаца8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2z0">
    <w:name w:val="WW8Num2z0"/>
    <w:rPr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ac">
    <w:name w:val="Знак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Pr>
      <w:rFonts w:ascii="Times New Roman" w:hAnsi="Times New Roman" w:cs="Times New Roman"/>
      <w:sz w:val="24"/>
      <w:szCs w:val="22"/>
    </w:rPr>
  </w:style>
  <w:style w:type="character" w:styleId="ad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">
    <w:name w:val="Текст сноски Знак"/>
    <w:rPr>
      <w:rFonts w:eastAsia="Calibri"/>
      <w:lang w:eastAsia="ar-SA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af1">
    <w:name w:val="Верхний колонтитул Знак"/>
    <w:rPr>
      <w:rFonts w:eastAsia="Calibri"/>
      <w:sz w:val="24"/>
      <w:szCs w:val="22"/>
      <w:lang w:eastAsia="ar-SA"/>
    </w:rPr>
  </w:style>
  <w:style w:type="character" w:customStyle="1" w:styleId="25">
    <w:name w:val="Заголовок 2 Знак"/>
    <w:basedOn w:val="a0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  <w:sz w:val="24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Arial" w:eastAsia="Microsoft YaHei" w:hAnsi="Arial" w:cs="Arial"/>
      <w:b/>
      <w:bCs/>
      <w:sz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8">
    <w:name w:val="Название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0">
    <w:name w:val="Указатель8"/>
    <w:basedOn w:val="Standard"/>
    <w:pPr>
      <w:suppressLineNumbers/>
    </w:pPr>
    <w:rPr>
      <w:rFonts w:cs="Mangal"/>
    </w:rPr>
  </w:style>
  <w:style w:type="paragraph" w:customStyle="1" w:styleId="7">
    <w:name w:val="Название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0">
    <w:name w:val="Указатель7"/>
    <w:basedOn w:val="Standard"/>
    <w:pPr>
      <w:suppressLineNumbers/>
    </w:pPr>
    <w:rPr>
      <w:rFonts w:cs="Mangal"/>
    </w:rPr>
  </w:style>
  <w:style w:type="paragraph" w:customStyle="1" w:styleId="6">
    <w:name w:val="Название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Standard"/>
    <w:pPr>
      <w:suppressLineNumbers/>
    </w:pPr>
    <w:rPr>
      <w:rFonts w:cs="Mangal"/>
    </w:rPr>
  </w:style>
  <w:style w:type="paragraph" w:customStyle="1" w:styleId="5">
    <w:name w:val="Название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Standar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a5">
    <w:name w:val="Таблицы (моноширинный)"/>
    <w:basedOn w:val="Standard"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22">
    <w:name w:val="Основной текст с отступом 22"/>
    <w:basedOn w:val="Standard"/>
    <w:pPr>
      <w:ind w:firstLine="561"/>
      <w:jc w:val="both"/>
    </w:pPr>
  </w:style>
  <w:style w:type="paragraph" w:customStyle="1" w:styleId="23">
    <w:name w:val="Основной текст с отступом 23"/>
    <w:basedOn w:val="Standard"/>
    <w:pPr>
      <w:ind w:firstLine="561"/>
      <w:jc w:val="both"/>
    </w:pPr>
  </w:style>
  <w:style w:type="paragraph" w:customStyle="1" w:styleId="Preformat">
    <w:name w:val="Preformat"/>
    <w:pPr>
      <w:widowControl/>
    </w:pPr>
    <w:rPr>
      <w:rFonts w:ascii="Courier New" w:hAnsi="Courier New"/>
    </w:rPr>
  </w:style>
  <w:style w:type="paragraph" w:styleId="a8">
    <w:name w:val="footnote text"/>
    <w:basedOn w:val="Standard"/>
    <w:rPr>
      <w:sz w:val="20"/>
      <w:szCs w:val="20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customStyle="1" w:styleId="ab">
    <w:name w:val="После таблицы"/>
    <w:basedOn w:val="Standard"/>
    <w:pPr>
      <w:suppressAutoHyphens w:val="0"/>
      <w:spacing w:before="120"/>
      <w:ind w:firstLine="567"/>
    </w:pPr>
    <w:rPr>
      <w:rFonts w:cs="Calibri"/>
      <w:szCs w:val="24"/>
      <w:lang w:eastAsia="en-US"/>
    </w:rPr>
  </w:style>
  <w:style w:type="character" w:customStyle="1" w:styleId="WW8Num1z0">
    <w:name w:val="WW8Num1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81">
    <w:name w:val="Основной шрифт абзаца8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2z0">
    <w:name w:val="WW8Num2z0"/>
    <w:rPr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ac">
    <w:name w:val="Знак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Pr>
      <w:rFonts w:ascii="Times New Roman" w:hAnsi="Times New Roman" w:cs="Times New Roman"/>
      <w:sz w:val="24"/>
      <w:szCs w:val="22"/>
    </w:rPr>
  </w:style>
  <w:style w:type="character" w:styleId="ad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">
    <w:name w:val="Текст сноски Знак"/>
    <w:rPr>
      <w:rFonts w:eastAsia="Calibri"/>
      <w:lang w:eastAsia="ar-SA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af1">
    <w:name w:val="Верхний колонтитул Знак"/>
    <w:rPr>
      <w:rFonts w:eastAsia="Calibri"/>
      <w:sz w:val="24"/>
      <w:szCs w:val="22"/>
      <w:lang w:eastAsia="ar-SA"/>
    </w:rPr>
  </w:style>
  <w:style w:type="character" w:customStyle="1" w:styleId="25">
    <w:name w:val="Заголовок 2 Знак"/>
    <w:basedOn w:val="a0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6347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«НП ЭнергоЭксперт»</vt:lpstr>
    </vt:vector>
  </TitlesOfParts>
  <Company/>
  <LinksUpToDate>false</LinksUpToDate>
  <CharactersWithSpaces>42444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«НП ЭнергоЭксперт»</dc:title>
  <dc:creator>Хохлов</dc:creator>
  <cp:lastModifiedBy>User</cp:lastModifiedBy>
  <cp:revision>1</cp:revision>
  <cp:lastPrinted>2020-04-24T10:21:00Z</cp:lastPrinted>
  <dcterms:created xsi:type="dcterms:W3CDTF">2013-01-24T08:27:00Z</dcterms:created>
  <dcterms:modified xsi:type="dcterms:W3CDTF">2021-01-12T06:26:00Z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