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44" w:rsidRDefault="008A3CFB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2876400</wp:posOffset>
            </wp:positionH>
            <wp:positionV relativeFrom="paragraph">
              <wp:posOffset>0</wp:posOffset>
            </wp:positionV>
            <wp:extent cx="542880" cy="609480"/>
            <wp:effectExtent l="0" t="0" r="0" b="12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609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73644" w:rsidRDefault="008A3C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73644" w:rsidRDefault="00F73644">
      <w:pPr>
        <w:pStyle w:val="Standard"/>
        <w:rPr>
          <w:sz w:val="28"/>
          <w:szCs w:val="28"/>
        </w:rPr>
      </w:pPr>
    </w:p>
    <w:p w:rsidR="00F73644" w:rsidRDefault="008A3C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ЧЕРНОПЕНСКОГО СЕЛЬСКОГО ПОСЕЛЕНИЯ</w:t>
      </w:r>
    </w:p>
    <w:p w:rsidR="00F73644" w:rsidRDefault="008A3CFB">
      <w:pPr>
        <w:pStyle w:val="Standard"/>
        <w:tabs>
          <w:tab w:val="left" w:pos="4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F73644" w:rsidRDefault="008A3C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8A3CFB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8A3CFB">
      <w:pPr>
        <w:pStyle w:val="Standard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30 мая 2019  года    № 44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                                                п. Сухоногово</w:t>
      </w:r>
    </w:p>
    <w:p w:rsidR="00F73644" w:rsidRDefault="00F73644">
      <w:pPr>
        <w:pStyle w:val="Standard"/>
        <w:jc w:val="both"/>
        <w:rPr>
          <w:rFonts w:cs="Arial"/>
          <w:sz w:val="28"/>
          <w:szCs w:val="28"/>
        </w:rPr>
      </w:pP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5"/>
        <w:gridCol w:w="5251"/>
      </w:tblGrid>
      <w:tr w:rsidR="00F73644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42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644" w:rsidRDefault="008A3CFB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О внесении инзменений в постановление </w:t>
            </w:r>
            <w:r>
              <w:rPr>
                <w:rFonts w:cs="Arial"/>
                <w:iCs/>
                <w:color w:val="000000"/>
                <w:sz w:val="28"/>
                <w:szCs w:val="28"/>
              </w:rPr>
              <w:t>администрации от 01.11.2018 № 69</w:t>
            </w:r>
            <w:proofErr w:type="gramStart"/>
            <w:r>
              <w:rPr>
                <w:rFonts w:cs="Arial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iCs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cs="Arial"/>
                <w:iCs/>
                <w:color w:val="000000"/>
                <w:sz w:val="28"/>
                <w:szCs w:val="28"/>
              </w:rPr>
              <w:t xml:space="preserve">б  утверждении </w:t>
            </w:r>
            <w:r>
              <w:rPr>
                <w:iCs/>
                <w:color w:val="000000"/>
                <w:sz w:val="28"/>
                <w:szCs w:val="28"/>
              </w:rPr>
              <w:t>муниципальной программы    «</w:t>
            </w:r>
            <w:r>
              <w:rPr>
                <w:sz w:val="28"/>
                <w:szCs w:val="28"/>
              </w:rPr>
              <w:t>Строительство, ремонт и реконструкция уличного освещения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населённых</w:t>
            </w:r>
            <w:r>
              <w:rPr>
                <w:sz w:val="28"/>
                <w:szCs w:val="28"/>
              </w:rPr>
              <w:t xml:space="preserve"> пунктов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на территории Чернопенского сельского поселения на период 2019-2021»</w:t>
            </w:r>
          </w:p>
        </w:tc>
        <w:tc>
          <w:tcPr>
            <w:tcW w:w="52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644" w:rsidRDefault="00F7364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8A3C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 – ФЗ «Об общих   принципах организации местного самоуправления в Российской Федерации», Уставом муниципального</w:t>
      </w:r>
      <w:r>
        <w:rPr>
          <w:sz w:val="28"/>
          <w:szCs w:val="28"/>
        </w:rPr>
        <w:t xml:space="preserve"> образования Чернопенское сельское поселение Костромского муниципального района Костромской области,   </w:t>
      </w:r>
      <w:r>
        <w:rPr>
          <w:bCs/>
          <w:sz w:val="28"/>
          <w:szCs w:val="28"/>
        </w:rPr>
        <w:t>администрация   ПОСТАНОВЛЯЕТ:</w:t>
      </w:r>
    </w:p>
    <w:p w:rsidR="00F73644" w:rsidRDefault="008A3CFB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Внести   изменения    в   постановление     </w:t>
      </w:r>
      <w:r>
        <w:rPr>
          <w:rFonts w:cs="Arial"/>
          <w:iCs/>
          <w:color w:val="000000"/>
          <w:sz w:val="28"/>
          <w:szCs w:val="28"/>
        </w:rPr>
        <w:t>администрации Чернопенского сельского поселения от 01.11.2018 № 69</w:t>
      </w:r>
      <w:r>
        <w:rPr>
          <w:rFonts w:cs="Arial"/>
          <w:iCs/>
          <w:color w:val="000000"/>
          <w:sz w:val="28"/>
          <w:szCs w:val="28"/>
        </w:rPr>
        <w:t xml:space="preserve">  </w:t>
      </w:r>
      <w:r>
        <w:rPr>
          <w:rFonts w:cs="Arial"/>
          <w:iCs/>
          <w:color w:val="000000"/>
          <w:sz w:val="28"/>
          <w:szCs w:val="28"/>
        </w:rPr>
        <w:t>«Строительство, ремонт и реконструкция уличного освещения</w:t>
      </w:r>
      <w:r>
        <w:rPr>
          <w:rFonts w:cs="Arial"/>
          <w:b/>
          <w:iCs/>
          <w:color w:val="000000"/>
          <w:sz w:val="28"/>
          <w:szCs w:val="28"/>
        </w:rPr>
        <w:t xml:space="preserve"> </w:t>
      </w:r>
      <w:r>
        <w:rPr>
          <w:rFonts w:cs="Arial"/>
          <w:iCs/>
          <w:color w:val="000000"/>
          <w:sz w:val="28"/>
          <w:szCs w:val="28"/>
        </w:rPr>
        <w:t>населённых пунктов</w:t>
      </w:r>
      <w:r>
        <w:rPr>
          <w:rFonts w:cs="Arial"/>
          <w:b/>
          <w:iCs/>
          <w:color w:val="000000"/>
          <w:sz w:val="28"/>
          <w:szCs w:val="28"/>
        </w:rPr>
        <w:t xml:space="preserve"> </w:t>
      </w:r>
      <w:r>
        <w:rPr>
          <w:rFonts w:cs="Arial"/>
          <w:iCs/>
          <w:color w:val="000000"/>
          <w:sz w:val="28"/>
          <w:szCs w:val="28"/>
        </w:rPr>
        <w:t xml:space="preserve">на территории Чернопенского сельского поселения на период 2019-2021»  </w:t>
      </w:r>
    </w:p>
    <w:p w:rsidR="00F73644" w:rsidRDefault="008A3CFB">
      <w:pPr>
        <w:pStyle w:val="Standard"/>
        <w:jc w:val="both"/>
      </w:pPr>
      <w:r>
        <w:rPr>
          <w:sz w:val="28"/>
          <w:szCs w:val="28"/>
        </w:rPr>
        <w:t xml:space="preserve">   1.1. И</w:t>
      </w:r>
      <w:r>
        <w:rPr>
          <w:iCs/>
          <w:color w:val="000000"/>
          <w:sz w:val="28"/>
          <w:szCs w:val="28"/>
        </w:rPr>
        <w:t>зложить  Муниципальную программу  «Строительство, ремонт и реконструкция уличного освещения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населён</w:t>
      </w:r>
      <w:r>
        <w:rPr>
          <w:iCs/>
          <w:color w:val="000000"/>
          <w:sz w:val="28"/>
          <w:szCs w:val="28"/>
        </w:rPr>
        <w:t>ных пунктов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 территории Чернопенского сельского поселения на период 2019-2021»  в новой редакции (Приложение). </w:t>
      </w:r>
      <w:r>
        <w:rPr>
          <w:sz w:val="28"/>
          <w:szCs w:val="28"/>
        </w:rPr>
        <w:t xml:space="preserve">      </w:t>
      </w:r>
    </w:p>
    <w:p w:rsidR="00F73644" w:rsidRDefault="008A3C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3644" w:rsidRDefault="008A3C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 по</w:t>
      </w:r>
      <w:r>
        <w:rPr>
          <w:sz w:val="28"/>
          <w:szCs w:val="28"/>
        </w:rPr>
        <w:t>дписания и подлежит  размещению на  официальном сайте Чернопенского сельского поселения в сети «Интернет».</w:t>
      </w:r>
    </w:p>
    <w:p w:rsidR="00F73644" w:rsidRDefault="008A3CFB">
      <w:pPr>
        <w:pStyle w:val="Standard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</w:p>
    <w:p w:rsidR="00F73644" w:rsidRDefault="008A3C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F73644" w:rsidRDefault="008A3C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Е.Н.Зубо</w:t>
      </w:r>
      <w:r>
        <w:rPr>
          <w:sz w:val="28"/>
          <w:szCs w:val="28"/>
        </w:rPr>
        <w:t>ва</w:t>
      </w:r>
    </w:p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8A3CF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73644" w:rsidRDefault="008A3CF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8A3CF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F73644" w:rsidRDefault="008A3CF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F73644" w:rsidRDefault="008A3CF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Чернопенского сельского поселения  </w:t>
      </w:r>
    </w:p>
    <w:p w:rsidR="00F73644" w:rsidRDefault="008A3CF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   01.11.2018  № 69 (в редакции постановления  от 30.05.2019 № 44)</w:t>
      </w:r>
    </w:p>
    <w:p w:rsidR="00F73644" w:rsidRDefault="00F73644">
      <w:pPr>
        <w:pStyle w:val="Standard"/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tabs>
          <w:tab w:val="left" w:pos="709"/>
        </w:tabs>
        <w:rPr>
          <w:sz w:val="28"/>
          <w:szCs w:val="28"/>
        </w:rPr>
      </w:pPr>
    </w:p>
    <w:p w:rsidR="00F73644" w:rsidRDefault="00F73644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F73644" w:rsidRDefault="00F73644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F73644" w:rsidRDefault="008A3CFB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ипальная  программа</w:t>
      </w:r>
    </w:p>
    <w:p w:rsidR="00F73644" w:rsidRDefault="008A3CFB">
      <w:pPr>
        <w:pStyle w:val="Standard"/>
        <w:keepLines/>
        <w:tabs>
          <w:tab w:val="left" w:pos="709"/>
        </w:tabs>
        <w:jc w:val="center"/>
      </w:pPr>
      <w:r>
        <w:rPr>
          <w:sz w:val="28"/>
          <w:szCs w:val="28"/>
        </w:rPr>
        <w:t>«Строительство, ремонт и реконструкция уличного освещения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населённых пунктов</w:t>
      </w:r>
      <w:r>
        <w:rPr>
          <w:b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территории Чернопенского сельского поселения</w:t>
      </w:r>
    </w:p>
    <w:p w:rsidR="00F73644" w:rsidRDefault="008A3CFB">
      <w:pPr>
        <w:pStyle w:val="Standard"/>
        <w:keepLines/>
        <w:tabs>
          <w:tab w:val="left" w:pos="709"/>
        </w:tabs>
        <w:jc w:val="center"/>
      </w:pPr>
      <w:r>
        <w:rPr>
          <w:iCs/>
          <w:color w:val="000000"/>
          <w:sz w:val="28"/>
          <w:szCs w:val="28"/>
        </w:rPr>
        <w:t>на период 2019-2021</w:t>
      </w:r>
      <w:r>
        <w:rPr>
          <w:sz w:val="28"/>
          <w:szCs w:val="28"/>
        </w:rPr>
        <w:t>»</w:t>
      </w: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F73644" w:rsidRDefault="00F73644">
      <w:pPr>
        <w:pStyle w:val="Standard"/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F73644" w:rsidRDefault="008A3CFB">
      <w:pPr>
        <w:pStyle w:val="Standard"/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ПАСПОРТ</w:t>
      </w:r>
    </w:p>
    <w:p w:rsidR="00F73644" w:rsidRDefault="008A3CFB">
      <w:pPr>
        <w:pStyle w:val="Standard"/>
        <w:tabs>
          <w:tab w:val="left" w:pos="7020"/>
        </w:tabs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муниципальной программы Чернопенского сельского </w:t>
      </w:r>
      <w:r>
        <w:rPr>
          <w:sz w:val="28"/>
          <w:szCs w:val="28"/>
          <w:lang w:eastAsia="ru-RU"/>
        </w:rPr>
        <w:t>поселения</w:t>
      </w:r>
    </w:p>
    <w:p w:rsidR="00F73644" w:rsidRDefault="008A3CFB">
      <w:pPr>
        <w:pStyle w:val="Standard"/>
        <w:keepLines/>
        <w:tabs>
          <w:tab w:val="left" w:pos="709"/>
        </w:tabs>
        <w:jc w:val="center"/>
      </w:pPr>
      <w:r>
        <w:rPr>
          <w:sz w:val="28"/>
          <w:szCs w:val="28"/>
        </w:rPr>
        <w:t xml:space="preserve">«Строительство, ремонт и реконструкция уличного освещения населённых пунктов </w:t>
      </w:r>
      <w:r>
        <w:rPr>
          <w:iCs/>
          <w:color w:val="000000"/>
          <w:sz w:val="28"/>
          <w:szCs w:val="28"/>
        </w:rPr>
        <w:t>на территории Чернопенского сельского поселения</w:t>
      </w:r>
    </w:p>
    <w:p w:rsidR="00F73644" w:rsidRDefault="008A3CFB">
      <w:pPr>
        <w:pStyle w:val="Standard"/>
        <w:tabs>
          <w:tab w:val="left" w:pos="6225"/>
        </w:tabs>
        <w:suppressAutoHyphens w:val="0"/>
        <w:spacing w:line="360" w:lineRule="auto"/>
        <w:ind w:left="-795"/>
        <w:jc w:val="center"/>
        <w:outlineLvl w:val="0"/>
      </w:pPr>
      <w:r>
        <w:rPr>
          <w:iCs/>
          <w:color w:val="000000"/>
          <w:sz w:val="28"/>
          <w:szCs w:val="28"/>
        </w:rPr>
        <w:t>на период 2018-2021</w:t>
      </w:r>
      <w:r>
        <w:rPr>
          <w:sz w:val="28"/>
          <w:szCs w:val="28"/>
        </w:rPr>
        <w:t>»</w:t>
      </w:r>
    </w:p>
    <w:tbl>
      <w:tblPr>
        <w:tblW w:w="106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7"/>
        <w:gridCol w:w="7058"/>
      </w:tblGrid>
      <w:tr w:rsidR="00F73644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Чернопенского сельского поселения К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стромского </w:t>
            </w:r>
            <w:r>
              <w:rPr>
                <w:sz w:val="28"/>
                <w:szCs w:val="28"/>
                <w:lang w:eastAsia="ru-RU"/>
              </w:rPr>
              <w:t>муниципального района Костромской области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Програ</w:t>
            </w:r>
            <w:r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2019–2021 годы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Цели и задачи муниципал</w:t>
            </w:r>
            <w:r>
              <w:rPr>
                <w:sz w:val="28"/>
                <w:szCs w:val="28"/>
                <w:lang w:eastAsia="ru-RU"/>
              </w:rPr>
              <w:t>ь</w:t>
            </w:r>
            <w:r>
              <w:rPr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протяженности освещенных улиц, повыш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ние качества освещения улиц и внедрение энергоэффе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тивных источников уличного освеще</w:t>
            </w:r>
            <w:r>
              <w:rPr>
                <w:sz w:val="28"/>
                <w:szCs w:val="28"/>
                <w:lang w:eastAsia="ru-RU"/>
              </w:rPr>
              <w:t>ния населённых пунктов на территории Чернопенского сельского посел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ния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 xml:space="preserve">Целевой показатель                    Единица измерения   </w:t>
            </w:r>
          </w:p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 Увеличение протяженности                 </w:t>
            </w:r>
            <w:proofErr w:type="gramStart"/>
            <w:r>
              <w:rPr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освещенных у</w:t>
            </w:r>
            <w:r>
              <w:rPr>
                <w:sz w:val="28"/>
                <w:szCs w:val="28"/>
                <w:lang w:eastAsia="ru-RU"/>
              </w:rPr>
              <w:t xml:space="preserve">лиц  </w:t>
            </w:r>
          </w:p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Увеличение количества</w:t>
            </w:r>
          </w:p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действующих светильников                   шт.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и источники фина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сирования</w:t>
            </w:r>
          </w:p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муниципальной Программы по годам реализации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61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1425"/>
              <w:gridCol w:w="1170"/>
              <w:gridCol w:w="1410"/>
            </w:tblGrid>
            <w:tr w:rsidR="00F73644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0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ind w:right="78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Объем фина</w:t>
                  </w:r>
                  <w:r>
                    <w:rPr>
                      <w:sz w:val="28"/>
                      <w:szCs w:val="28"/>
                      <w:lang w:eastAsia="ru-RU"/>
                    </w:rPr>
                    <w:t>н</w:t>
                  </w:r>
                  <w:r>
                    <w:rPr>
                      <w:sz w:val="28"/>
                      <w:szCs w:val="28"/>
                      <w:lang w:eastAsia="ru-RU"/>
                    </w:rPr>
                    <w:t>сирования по годам, тыс. руб.</w:t>
                  </w:r>
                </w:p>
              </w:tc>
              <w:tc>
                <w:tcPr>
                  <w:tcW w:w="4005" w:type="dxa"/>
                  <w:gridSpan w:val="3"/>
                </w:tcPr>
                <w:p w:rsidR="00F73644" w:rsidRDefault="00F73644">
                  <w:pPr>
                    <w:pStyle w:val="Standard"/>
                  </w:pPr>
                </w:p>
              </w:tc>
            </w:tr>
            <w:tr w:rsidR="00F73644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10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2020 г.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</w:tr>
            <w:tr w:rsidR="00F73644">
              <w:tblPrEx>
                <w:tblCellMar>
                  <w:top w:w="0" w:type="dxa"/>
                  <w:bottom w:w="0" w:type="dxa"/>
                </w:tblCellMar>
              </w:tblPrEx>
              <w:trPr>
                <w:trHeight w:val="1052"/>
              </w:trPr>
              <w:tc>
                <w:tcPr>
                  <w:tcW w:w="2100" w:type="dxa"/>
                  <w:tcBorders>
                    <w:top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Местный бюджет</w:t>
                  </w:r>
                </w:p>
                <w:p w:rsidR="00F73644" w:rsidRDefault="00F73644">
                  <w:pPr>
                    <w:pStyle w:val="Standard"/>
                    <w:rPr>
                      <w:sz w:val="26"/>
                      <w:szCs w:val="26"/>
                      <w:lang w:eastAsia="ru-RU"/>
                    </w:rPr>
                  </w:pPr>
                </w:p>
                <w:p w:rsidR="00F73644" w:rsidRDefault="008A3CFB">
                  <w:pPr>
                    <w:pStyle w:val="Standard"/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Внебюджетные </w:t>
                  </w:r>
                  <w:r>
                    <w:rPr>
                      <w:sz w:val="26"/>
                      <w:szCs w:val="26"/>
                      <w:lang w:eastAsia="ru-RU"/>
                    </w:rPr>
                    <w:t>источники</w:t>
                  </w: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210,0</w:t>
                  </w:r>
                </w:p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100,5</w:t>
                  </w:r>
                </w:p>
                <w:p w:rsidR="00F73644" w:rsidRDefault="008A3CFB">
                  <w:pPr>
                    <w:pStyle w:val="Standard"/>
                    <w:tabs>
                      <w:tab w:val="left" w:pos="6855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39,30</w:t>
                  </w:r>
                </w:p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644" w:rsidRDefault="008A3CFB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360" w:lineRule="auto"/>
                    <w:jc w:val="center"/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pacing w:val="-20"/>
                      <w:sz w:val="28"/>
                      <w:szCs w:val="28"/>
                      <w:lang w:eastAsia="ru-RU"/>
                    </w:rPr>
                    <w:t>210,0</w:t>
                  </w:r>
                </w:p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F73644" w:rsidRDefault="00F73644">
                  <w:pPr>
                    <w:pStyle w:val="Standard"/>
                    <w:tabs>
                      <w:tab w:val="left" w:pos="7020"/>
                    </w:tabs>
                    <w:suppressAutoHyphens w:val="0"/>
                    <w:spacing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ожидаемые р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зультаты реализации Пр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действующих светильников;</w:t>
            </w:r>
          </w:p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протяженности сетей наружного освещения;</w:t>
            </w:r>
          </w:p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увеличение протяженности освещенных населенных </w:t>
            </w:r>
            <w:r>
              <w:rPr>
                <w:sz w:val="28"/>
                <w:szCs w:val="28"/>
                <w:lang w:eastAsia="ru-RU"/>
              </w:rPr>
              <w:t>пунктов.</w:t>
            </w:r>
          </w:p>
        </w:tc>
      </w:tr>
    </w:tbl>
    <w:p w:rsidR="00F73644" w:rsidRDefault="00F73644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F73644" w:rsidRDefault="00F73644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F73644" w:rsidRDefault="008A3CFB">
      <w:pPr>
        <w:pStyle w:val="Standard"/>
        <w:tabs>
          <w:tab w:val="left" w:pos="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Характеристика и анализ проблем, решение которых осуществляется путем р</w:t>
      </w:r>
      <w:r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>ализации Программы.  Прогноз ожидаемых результатов.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Необходимость развития и совершенствования освещения населенных пунктов на те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ритории Чернопенского сельского </w:t>
      </w:r>
      <w:r>
        <w:rPr>
          <w:sz w:val="28"/>
          <w:szCs w:val="28"/>
          <w:lang w:eastAsia="ru-RU"/>
        </w:rPr>
        <w:t>поселения вызвана рядом причин: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Наличием значительной протяженности улично-дорожной сети, не охваченной сист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мой уличного освещения.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Наличие значительного количества морально и физически устаревшего оборудования, не соответствующего современным требо</w:t>
      </w:r>
      <w:r>
        <w:rPr>
          <w:sz w:val="28"/>
          <w:szCs w:val="28"/>
          <w:lang w:eastAsia="ru-RU"/>
        </w:rPr>
        <w:t>ваниям энергетической эффективности.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Увеличением строительства жилых домов,  количества граждан, постоянно прожив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ющих в сельской местности.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Увеличением количества автомобильного транспорта и повышением интенсивности его движения.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Освещение улиц, дор</w:t>
      </w:r>
      <w:r>
        <w:rPr>
          <w:sz w:val="28"/>
          <w:szCs w:val="28"/>
          <w:lang w:eastAsia="ru-RU"/>
        </w:rPr>
        <w:t>ог,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нарушения общественного порядка, формирован</w:t>
      </w:r>
      <w:r>
        <w:rPr>
          <w:sz w:val="28"/>
          <w:szCs w:val="28"/>
          <w:lang w:eastAsia="ru-RU"/>
        </w:rPr>
        <w:t>ию привлекательного вечернего облика улиц.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на сегодняшний день появляется необходимость серьезного улучшения уличного освещения населенных пунктов. Наружное освещение по своему функци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нальному назначению относится к благоустройству территори</w:t>
      </w:r>
      <w:r>
        <w:rPr>
          <w:sz w:val="28"/>
          <w:szCs w:val="28"/>
          <w:lang w:eastAsia="ru-RU"/>
        </w:rPr>
        <w:t>й.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территории Чернопенского сельского поселения имеются населенные пункты с по</w:t>
      </w:r>
      <w:r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ностью отсутствующим уличным освещением, общая протяженность неосвещенных улиц и дорог составляет 13 км.</w:t>
      </w:r>
    </w:p>
    <w:p w:rsidR="00F73644" w:rsidRDefault="008A3CFB">
      <w:pPr>
        <w:pStyle w:val="Standard"/>
        <w:suppressAutoHyphens w:val="0"/>
        <w:spacing w:line="360" w:lineRule="auto"/>
        <w:jc w:val="both"/>
      </w:pPr>
      <w:r>
        <w:rPr>
          <w:bCs/>
          <w:sz w:val="28"/>
          <w:szCs w:val="28"/>
          <w:lang w:eastAsia="ru-RU"/>
        </w:rPr>
        <w:t>Существующее освещение улиц не обеспечивает нормируемые показатели о</w:t>
      </w:r>
      <w:r>
        <w:rPr>
          <w:bCs/>
          <w:sz w:val="28"/>
          <w:szCs w:val="28"/>
          <w:lang w:eastAsia="ru-RU"/>
        </w:rPr>
        <w:t>свещенн</w:t>
      </w:r>
      <w:r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сти территорий.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 связи с появлением на рынке электротехнической продукции нового поколения с улучшенными энергосберегающими и светотехническими характеристик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ми на территории сельского поселения начаты работы по замене существующих св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тильников на</w:t>
      </w:r>
      <w:r>
        <w:rPr>
          <w:bCs/>
          <w:sz w:val="28"/>
          <w:szCs w:val="28"/>
          <w:lang w:eastAsia="ru-RU"/>
        </w:rPr>
        <w:t xml:space="preserve"> светильники с дуговыми натриевыми трубчатыми лампами высокого да</w:t>
      </w:r>
      <w:r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>ления (далее – ДНаТ), а также светодиодных светильников. Внедрение передовых мат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риалов и технологий значительно снизит потери электрической энергии в сетях, пов</w:t>
      </w:r>
      <w:r>
        <w:rPr>
          <w:bCs/>
          <w:sz w:val="28"/>
          <w:szCs w:val="28"/>
          <w:lang w:eastAsia="ru-RU"/>
        </w:rPr>
        <w:t>ы</w:t>
      </w:r>
      <w:r>
        <w:rPr>
          <w:bCs/>
          <w:sz w:val="28"/>
          <w:szCs w:val="28"/>
          <w:lang w:eastAsia="ru-RU"/>
        </w:rPr>
        <w:t>сит надежность и качество ра</w:t>
      </w:r>
      <w:r>
        <w:rPr>
          <w:bCs/>
          <w:sz w:val="28"/>
          <w:szCs w:val="28"/>
          <w:lang w:eastAsia="ru-RU"/>
        </w:rPr>
        <w:t>боты сети наружного освещения.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lastRenderedPageBreak/>
        <w:t>Исходя из вышеизложенных проблем разработана</w:t>
      </w:r>
      <w:proofErr w:type="gramEnd"/>
      <w:r>
        <w:rPr>
          <w:bCs/>
          <w:sz w:val="28"/>
          <w:szCs w:val="28"/>
          <w:lang w:eastAsia="ru-RU"/>
        </w:rPr>
        <w:t xml:space="preserve"> настоящая Программа. Мероприятия Программы предусматривают решение вопросов строительства, реконструкции и р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монта системы уличного освещения на улицах населенных пунктов сельского</w:t>
      </w:r>
      <w:r>
        <w:rPr>
          <w:bCs/>
          <w:sz w:val="28"/>
          <w:szCs w:val="28"/>
          <w:lang w:eastAsia="ru-RU"/>
        </w:rPr>
        <w:t xml:space="preserve"> посел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ния с учетом внедрения новых материалов и технологий.</w:t>
      </w:r>
    </w:p>
    <w:p w:rsidR="00F73644" w:rsidRDefault="008A3CFB">
      <w:pPr>
        <w:pStyle w:val="Standard"/>
        <w:widowControl w:val="0"/>
        <w:shd w:val="clear" w:color="auto" w:fill="FFFFFF"/>
        <w:tabs>
          <w:tab w:val="left" w:pos="600"/>
          <w:tab w:val="left" w:pos="992"/>
        </w:tabs>
        <w:suppressAutoHyphens w:val="0"/>
        <w:spacing w:line="360" w:lineRule="auto"/>
        <w:ind w:right="-6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Мероприятия Программы предусматривают:</w:t>
      </w:r>
    </w:p>
    <w:p w:rsidR="00F73644" w:rsidRDefault="008A3CFB">
      <w:pPr>
        <w:pStyle w:val="Standard"/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Выбор типа светильников, их шага в зависимости от нормируемой средней яркости, освещенности покрытий улиц, поперечного профиля улиц.</w:t>
      </w:r>
    </w:p>
    <w:p w:rsidR="00F73644" w:rsidRDefault="008A3CFB">
      <w:pPr>
        <w:pStyle w:val="Standard"/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Использование</w:t>
      </w:r>
      <w:r>
        <w:rPr>
          <w:sz w:val="28"/>
          <w:szCs w:val="28"/>
          <w:lang w:eastAsia="ru-RU"/>
        </w:rPr>
        <w:t xml:space="preserve"> более эффективных светильников, отказ от светильников с лампами накаливания.</w:t>
      </w:r>
    </w:p>
    <w:p w:rsidR="00F73644" w:rsidRDefault="008A3CFB">
      <w:pPr>
        <w:pStyle w:val="Standard"/>
        <w:tabs>
          <w:tab w:val="left" w:pos="99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Выполнение воздушных линий с использованием самонесущего изолированного провода (далее – СИП).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Значительную экономию электроэнергии дает установка светильников с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энергоэффе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тивными натриевыми лампами высокого давления ДНаТ.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Сравнительная характеристика:</w:t>
      </w:r>
    </w:p>
    <w:tbl>
      <w:tblPr>
        <w:tblW w:w="944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465"/>
        <w:gridCol w:w="1466"/>
        <w:gridCol w:w="1353"/>
        <w:gridCol w:w="1353"/>
        <w:gridCol w:w="1140"/>
      </w:tblGrid>
      <w:tr w:rsidR="00F7364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ДНаТ -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ДНаТ-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ДРЛ-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ДРЛ-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ЛОН-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Е40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Световой поток, лм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47500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4610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Потребление, </w:t>
            </w:r>
            <w:proofErr w:type="gramStart"/>
            <w:r>
              <w:rPr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sz w:val="28"/>
                <w:szCs w:val="28"/>
                <w:lang w:eastAsia="ru-RU"/>
              </w:rPr>
              <w:t>продолж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тельность горения, часов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Механическая про</w:t>
            </w:r>
            <w:r>
              <w:rPr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низкая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Температурная устойчивость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очень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Устойчивость к пер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падам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очень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слабая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Время выхода в р</w:t>
            </w:r>
            <w:r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бочий режим, минут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Нагрев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очень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сильно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Экологическая бе</w:t>
            </w:r>
            <w:r>
              <w:rPr>
                <w:sz w:val="28"/>
                <w:szCs w:val="28"/>
                <w:lang w:eastAsia="ru-RU"/>
              </w:rPr>
              <w:t>з</w:t>
            </w:r>
            <w:r>
              <w:rPr>
                <w:sz w:val="28"/>
                <w:szCs w:val="28"/>
                <w:lang w:eastAsia="ru-RU"/>
              </w:rPr>
              <w:t>опасность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лампа 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держит натриево-ртутную амальгаму </w:t>
            </w:r>
            <w:r>
              <w:rPr>
                <w:sz w:val="28"/>
                <w:szCs w:val="28"/>
                <w:lang w:eastAsia="ru-RU"/>
              </w:rPr>
              <w:lastRenderedPageBreak/>
              <w:t>и ксенон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лампа 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держит натриево-ртутную амальгаму </w:t>
            </w:r>
            <w:r>
              <w:rPr>
                <w:sz w:val="28"/>
                <w:szCs w:val="28"/>
                <w:lang w:eastAsia="ru-RU"/>
              </w:rPr>
              <w:lastRenderedPageBreak/>
              <w:t>и ксенон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лампа </w:t>
            </w:r>
            <w:r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держит около 100 мг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аров ртути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лампа с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держит около 100 мг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аров ртути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без-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опасна</w:t>
            </w:r>
          </w:p>
        </w:tc>
      </w:tr>
    </w:tbl>
    <w:p w:rsidR="00F73644" w:rsidRDefault="00F7364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Так, в сравнении со светильником с лампой ДРЛ 400 Вт на улицах (световой поток 24 клм) использование светильника аналогичного исполнения с лампой ДНаТ 250 Вт (24 клм)</w:t>
      </w:r>
      <w:r>
        <w:rPr>
          <w:sz w:val="28"/>
          <w:szCs w:val="28"/>
          <w:lang w:eastAsia="ru-RU"/>
        </w:rPr>
        <w:t xml:space="preserve"> позволяет снизить расход электроэнергии на 332,4 кВт/ч в год с сохранением прежнего уровня освещенности.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за основу при реконструкции существующих и строительстве новых линий уличного освещения предлагается использовать светильники ЖКУ с лам</w:t>
      </w:r>
      <w:r>
        <w:rPr>
          <w:sz w:val="28"/>
          <w:szCs w:val="28"/>
          <w:lang w:eastAsia="ru-RU"/>
        </w:rPr>
        <w:t>пами ДНаТ – 250.</w:t>
      </w:r>
    </w:p>
    <w:p w:rsidR="00F73644" w:rsidRDefault="008A3CFB">
      <w:pPr>
        <w:pStyle w:val="Standard"/>
        <w:suppressAutoHyphens w:val="0"/>
        <w:spacing w:line="360" w:lineRule="auto"/>
        <w:jc w:val="both"/>
      </w:pPr>
      <w:r>
        <w:rPr>
          <w:sz w:val="28"/>
          <w:szCs w:val="28"/>
          <w:lang w:eastAsia="ru-RU"/>
        </w:rPr>
        <w:t>Для снижения потерь электричества в распределительных сетях наружного освещения и повышения электробезопасности жителей предлагается использовать в работе СИП вместо неизолированных воздушных алюминиевых проводов. СИП отличаются легк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стью</w:t>
      </w:r>
      <w:r>
        <w:rPr>
          <w:sz w:val="28"/>
          <w:szCs w:val="28"/>
          <w:lang w:eastAsia="ru-RU"/>
        </w:rPr>
        <w:t xml:space="preserve"> и маневренностью в монтаже, снижением потерь напряжения в 3 раза, продолж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тельной эксплуатацией без ремонта и дополнительных затрат, повышенной надежн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стью в зонах снегопадов и ледообразования, сохранением механической прочности и электрических параметров</w:t>
      </w:r>
      <w:r>
        <w:rPr>
          <w:sz w:val="28"/>
          <w:szCs w:val="28"/>
          <w:lang w:eastAsia="ru-RU"/>
        </w:rPr>
        <w:t xml:space="preserve"> при температурах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минус 65 ˚</w:t>
      </w:r>
      <w:r>
        <w:rPr>
          <w:sz w:val="28"/>
          <w:szCs w:val="28"/>
          <w:lang w:val="en-US" w:eastAsia="ru-RU"/>
        </w:rPr>
        <w:t>C</w:t>
      </w:r>
      <w:r>
        <w:rPr>
          <w:sz w:val="28"/>
          <w:szCs w:val="28"/>
          <w:lang w:eastAsia="ru-RU"/>
        </w:rPr>
        <w:t xml:space="preserve"> до плюс 85 ˚</w:t>
      </w:r>
      <w:r>
        <w:rPr>
          <w:sz w:val="28"/>
          <w:szCs w:val="28"/>
          <w:lang w:val="en-US" w:eastAsia="ru-RU"/>
        </w:rPr>
        <w:t>C</w:t>
      </w:r>
      <w:r>
        <w:rPr>
          <w:sz w:val="28"/>
          <w:szCs w:val="28"/>
          <w:lang w:eastAsia="ru-RU"/>
        </w:rPr>
        <w:t>, полной вл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гонепроницаемостью. Срок службы СИП – 50 лет.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Использование СИП позволяет снизить потери в сетях и повысить электробезопасность населения, резко уменьшить число внезапных отказов, сократить затраты </w:t>
      </w:r>
      <w:r>
        <w:rPr>
          <w:sz w:val="28"/>
          <w:szCs w:val="28"/>
          <w:lang w:eastAsia="ru-RU"/>
        </w:rPr>
        <w:t>на их ликв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дацию.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Невыполнение мероприятий Программы возможно по финансовым, техническим и др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гим причинам. К данным рискам относятся риски:</w:t>
      </w:r>
    </w:p>
    <w:p w:rsidR="00F73644" w:rsidRDefault="008A3CFB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крайне неудовлетворительное техническое состояние объектов;</w:t>
      </w:r>
    </w:p>
    <w:p w:rsidR="00F73644" w:rsidRDefault="008A3CFB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отсутствие необходимых финансовых средств;</w:t>
      </w:r>
    </w:p>
    <w:p w:rsidR="00F73644" w:rsidRDefault="008A3CFB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фо</w:t>
      </w:r>
      <w:r>
        <w:rPr>
          <w:sz w:val="28"/>
          <w:szCs w:val="28"/>
          <w:lang w:eastAsia="ru-RU"/>
        </w:rPr>
        <w:t>рс-мажорные обстоятельства.</w:t>
      </w:r>
    </w:p>
    <w:p w:rsidR="00F73644" w:rsidRDefault="008A3CFB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Неустранимыми рисками досрочного прекращения Программы могут стать изм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нение социальной и экономической ситуации, выявление новых приоритетов при реш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нии общегосударственных задач, форс-мажорные обстоятельства. Достижение целей </w:t>
      </w:r>
      <w:r>
        <w:rPr>
          <w:sz w:val="28"/>
          <w:szCs w:val="28"/>
          <w:lang w:eastAsia="ru-RU"/>
        </w:rPr>
        <w:t>Программы при таких условиях может быть невозможно.</w:t>
      </w:r>
    </w:p>
    <w:p w:rsidR="00F73644" w:rsidRDefault="008A3CFB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Программа предусматривает установку современного оборудования для обеспеч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наружного освещения, ее реализация обеспечивает:</w:t>
      </w:r>
    </w:p>
    <w:p w:rsidR="00F73644" w:rsidRDefault="008A3CFB">
      <w:pPr>
        <w:pStyle w:val="Standard"/>
        <w:suppressAutoHyphens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доли освещенных улиц до 100%;</w:t>
      </w:r>
    </w:p>
    <w:p w:rsidR="00F73644" w:rsidRDefault="008A3CFB">
      <w:pPr>
        <w:pStyle w:val="Standard"/>
        <w:suppressAutoHyphens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количества действующи</w:t>
      </w:r>
      <w:r>
        <w:rPr>
          <w:sz w:val="28"/>
          <w:szCs w:val="28"/>
          <w:lang w:eastAsia="ru-RU"/>
        </w:rPr>
        <w:t>х светильников на 54 штук;</w:t>
      </w:r>
    </w:p>
    <w:p w:rsidR="00F73644" w:rsidRDefault="008A3CFB">
      <w:pPr>
        <w:pStyle w:val="Standard"/>
        <w:keepLines/>
        <w:tabs>
          <w:tab w:val="left" w:pos="425"/>
        </w:tabs>
        <w:ind w:lef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- увеличение протяженности сетей уличного освещения на 6,4 км.</w:t>
      </w:r>
    </w:p>
    <w:p w:rsidR="00F73644" w:rsidRDefault="00F73644">
      <w:pPr>
        <w:pStyle w:val="Standard"/>
        <w:keepLines/>
        <w:tabs>
          <w:tab w:val="left" w:pos="425"/>
        </w:tabs>
        <w:ind w:left="-284"/>
        <w:jc w:val="both"/>
        <w:rPr>
          <w:sz w:val="28"/>
          <w:szCs w:val="28"/>
          <w:lang w:eastAsia="ru-RU"/>
        </w:rPr>
      </w:pPr>
    </w:p>
    <w:p w:rsidR="00F73644" w:rsidRDefault="00F73644">
      <w:pPr>
        <w:pStyle w:val="Standard"/>
        <w:keepLines/>
        <w:tabs>
          <w:tab w:val="left" w:pos="425"/>
        </w:tabs>
        <w:ind w:left="-284"/>
        <w:jc w:val="both"/>
        <w:rPr>
          <w:sz w:val="28"/>
          <w:szCs w:val="28"/>
          <w:lang w:eastAsia="ru-RU"/>
        </w:rPr>
      </w:pPr>
    </w:p>
    <w:p w:rsidR="00F73644" w:rsidRDefault="008A3CFB">
      <w:pPr>
        <w:pStyle w:val="Standard"/>
        <w:tabs>
          <w:tab w:val="left" w:pos="7020"/>
        </w:tabs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Цели, задачи и целевые показатели  Программы</w:t>
      </w:r>
    </w:p>
    <w:p w:rsidR="00F73644" w:rsidRDefault="008A3CFB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 Программы является повышение качества и эффективности наружного освещ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города.</w:t>
      </w:r>
    </w:p>
    <w:p w:rsidR="00F73644" w:rsidRDefault="008A3CFB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Основными </w:t>
      </w:r>
      <w:r>
        <w:rPr>
          <w:sz w:val="28"/>
          <w:szCs w:val="28"/>
          <w:lang w:eastAsia="ru-RU"/>
        </w:rPr>
        <w:t>задачами Программы являются: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реконструкция сетей и установок наружного освещения с применением современных технологий, источников света;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снижение эксплуатационных расходов, в том числе за счет энергоэкономичности сетей и светильников наружного освещени</w:t>
      </w:r>
      <w:r>
        <w:rPr>
          <w:sz w:val="28"/>
          <w:szCs w:val="28"/>
          <w:lang w:eastAsia="ru-RU"/>
        </w:rPr>
        <w:t>я;</w:t>
      </w:r>
    </w:p>
    <w:p w:rsidR="00F73644" w:rsidRDefault="008A3CFB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протяженности освещенных улиц и дорог.</w:t>
      </w:r>
    </w:p>
    <w:p w:rsidR="00F73644" w:rsidRDefault="00F7364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W w:w="11235" w:type="dxa"/>
        <w:tblInd w:w="-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3053"/>
        <w:gridCol w:w="1914"/>
        <w:gridCol w:w="1664"/>
        <w:gridCol w:w="2474"/>
        <w:gridCol w:w="76"/>
      </w:tblGrid>
      <w:tr w:rsidR="00F7364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ind w:left="690" w:right="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№ строки</w:t>
            </w:r>
          </w:p>
        </w:tc>
        <w:tc>
          <w:tcPr>
            <w:tcW w:w="30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(целей) и задач, цел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вых показателей</w:t>
            </w:r>
          </w:p>
          <w:p w:rsidR="00F73644" w:rsidRDefault="00F73644">
            <w:pPr>
              <w:pStyle w:val="Standard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измерения</w:t>
            </w:r>
          </w:p>
          <w:p w:rsidR="00F73644" w:rsidRDefault="00F73644">
            <w:pPr>
              <w:pStyle w:val="Standard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целевого показателя</w:t>
            </w:r>
          </w:p>
          <w:p w:rsidR="00F73644" w:rsidRDefault="00F73644">
            <w:pPr>
              <w:pStyle w:val="Standard"/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</w:tcPr>
          <w:p w:rsidR="00F73644" w:rsidRDefault="00F73644">
            <w:pPr>
              <w:pStyle w:val="Standard"/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3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год план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 периода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протяженности                  </w:t>
            </w:r>
          </w:p>
          <w:p w:rsidR="00F73644" w:rsidRDefault="008A3CFB">
            <w:pPr>
              <w:pStyle w:val="Standard"/>
              <w:spacing w:line="240" w:lineRule="auto"/>
              <w:jc w:val="both"/>
            </w:pPr>
            <w:r>
              <w:rPr>
                <w:sz w:val="28"/>
                <w:szCs w:val="28"/>
                <w:lang w:eastAsia="ru-RU"/>
              </w:rPr>
              <w:t>освещенных улиц и дорог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3,2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количества действующих светильников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</w:tbl>
    <w:p w:rsidR="00F73644" w:rsidRDefault="00F73644">
      <w:pPr>
        <w:pStyle w:val="Standard"/>
        <w:tabs>
          <w:tab w:val="left" w:pos="702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73644" w:rsidRDefault="008A3CFB">
      <w:pPr>
        <w:pStyle w:val="Standard"/>
        <w:tabs>
          <w:tab w:val="left" w:pos="702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План мероприятий Программы</w:t>
      </w:r>
    </w:p>
    <w:tbl>
      <w:tblPr>
        <w:tblW w:w="115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997"/>
        <w:gridCol w:w="1173"/>
        <w:gridCol w:w="1649"/>
        <w:gridCol w:w="1501"/>
        <w:gridCol w:w="3400"/>
        <w:gridCol w:w="86"/>
      </w:tblGrid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мероприятий и </w:t>
            </w:r>
            <w:r>
              <w:rPr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  <w:p w:rsidR="00F73644" w:rsidRDefault="00F73644">
            <w:pPr>
              <w:pStyle w:val="Standard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77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10350"/>
              </w:tabs>
              <w:spacing w:line="240" w:lineRule="auto"/>
              <w:ind w:left="105" w:right="780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 xml:space="preserve">Объем расходов на </w:t>
            </w: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выполнение мероприятий за счет всех источников ресурсного обеспечения,  тыс. руб.</w:t>
            </w:r>
          </w:p>
        </w:tc>
        <w:tc>
          <w:tcPr>
            <w:tcW w:w="86" w:type="dxa"/>
          </w:tcPr>
          <w:p w:rsidR="00F73644" w:rsidRDefault="00F73644">
            <w:pPr>
              <w:pStyle w:val="Standard"/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ae"/>
              <w:tabs>
                <w:tab w:val="left" w:pos="11130"/>
              </w:tabs>
              <w:spacing w:after="0"/>
              <w:ind w:right="40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 год планового периода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6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rPr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199,7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jc w:val="center"/>
              <w:rPr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rPr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ind w:left="315" w:right="495"/>
              <w:jc w:val="center"/>
              <w:rPr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36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Мероприятия.</w:t>
            </w:r>
          </w:p>
          <w:p w:rsidR="00F73644" w:rsidRDefault="008A3CF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2.1. Строительство уличного освещения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F73644" w:rsidRDefault="008A3CF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Карпово,</w:t>
            </w:r>
          </w:p>
          <w:p w:rsidR="00F73644" w:rsidRDefault="008A3CF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Коростелево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 Модернизация уличного освещения в п. Сухоногово</w:t>
            </w:r>
          </w:p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(ул. Дальняя,</w:t>
            </w:r>
            <w:proofErr w:type="gramEnd"/>
          </w:p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Молодёжная)</w:t>
            </w:r>
          </w:p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уличного освещения в д. Асташево, д. Лыщево</w:t>
            </w:r>
          </w:p>
          <w:p w:rsidR="00F73644" w:rsidRDefault="00F73644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199,7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2.3. Строительство уличного освещения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Тимонино,</w:t>
            </w:r>
          </w:p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 Наумово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  <w:lang w:eastAsia="ru-RU"/>
              </w:rPr>
              <w:t>700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3CFB"/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8A3CFB">
            <w:pPr>
              <w:pStyle w:val="Standard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lang w:eastAsia="ru-RU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44" w:rsidRDefault="00F73644">
            <w:pPr>
              <w:pStyle w:val="Standard"/>
              <w:tabs>
                <w:tab w:val="left" w:pos="7020"/>
              </w:tabs>
              <w:suppressAutoHyphens w:val="0"/>
              <w:spacing w:line="240" w:lineRule="auto"/>
              <w:rPr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F73644" w:rsidRDefault="00F73644">
      <w:pPr>
        <w:pStyle w:val="Standard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F73644" w:rsidRDefault="008A3CFB">
      <w:pPr>
        <w:pStyle w:val="Standard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объектов, сроки и стоимость выполнения работ</w:t>
      </w:r>
    </w:p>
    <w:p w:rsidR="00F73644" w:rsidRDefault="00F73644">
      <w:pPr>
        <w:pStyle w:val="Standard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tbl>
      <w:tblPr>
        <w:tblW w:w="1078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275"/>
        <w:gridCol w:w="1811"/>
        <w:gridCol w:w="1454"/>
        <w:gridCol w:w="1951"/>
        <w:gridCol w:w="1438"/>
        <w:gridCol w:w="76"/>
      </w:tblGrid>
      <w:tr w:rsidR="00F73644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населенн</w:t>
            </w: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>го пункта, улицы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Протяже</w:t>
            </w: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ность участка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Колич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ство св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тильников, шт.</w:t>
            </w:r>
          </w:p>
        </w:tc>
        <w:tc>
          <w:tcPr>
            <w:tcW w:w="338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ind w:right="5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стоимость (тыс. руб.) выполн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работ</w:t>
            </w:r>
          </w:p>
        </w:tc>
        <w:tc>
          <w:tcPr>
            <w:tcW w:w="76" w:type="dxa"/>
          </w:tcPr>
          <w:p w:rsidR="00F73644" w:rsidRDefault="00F73644">
            <w:pPr>
              <w:pStyle w:val="Standard"/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Карпово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Коростелево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tabs>
                <w:tab w:val="left" w:pos="7020"/>
              </w:tabs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Сухоногово</w:t>
            </w:r>
          </w:p>
          <w:p w:rsidR="00F73644" w:rsidRDefault="008A3CF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Дальняя</w:t>
            </w:r>
          </w:p>
          <w:p w:rsidR="00F73644" w:rsidRDefault="008A3CF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0,3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ind w:left="60" w:right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ind w:left="60" w:right="-75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Асташево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Лыщево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ind w:left="120" w:right="54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Тимонино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д. Наумово</w:t>
            </w:r>
          </w:p>
        </w:tc>
        <w:tc>
          <w:tcPr>
            <w:tcW w:w="18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F73644">
            <w:pPr>
              <w:pStyle w:val="Standard"/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7364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Всего                                                 6,4</w:t>
            </w:r>
          </w:p>
        </w:tc>
        <w:tc>
          <w:tcPr>
            <w:tcW w:w="1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14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644" w:rsidRDefault="008A3CFB">
            <w:pPr>
              <w:pStyle w:val="Standard"/>
              <w:suppressAutoHyphens w:val="0"/>
              <w:spacing w:line="24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</w:tbl>
    <w:p w:rsidR="00F73644" w:rsidRDefault="00F73644">
      <w:pPr>
        <w:pStyle w:val="Standard"/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F73644" w:rsidRDefault="008A3CFB">
      <w:pPr>
        <w:pStyle w:val="Standard"/>
        <w:tabs>
          <w:tab w:val="left" w:pos="7020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Стоимость работ по строительству сетей и установок управления наружного освещения определена по предварительным расчетам. Окончательная стоимость работ по каждому объекту будет откорректирована после разработки проектно-сметной документации.</w:t>
      </w:r>
    </w:p>
    <w:p w:rsidR="00F73644" w:rsidRDefault="00F73644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  <w:sectPr w:rsidR="00F73644">
          <w:pgSz w:w="11906" w:h="16838"/>
          <w:pgMar w:top="1365" w:right="641" w:bottom="1163" w:left="645" w:header="720" w:footer="720" w:gutter="0"/>
          <w:cols w:space="720"/>
        </w:sectPr>
      </w:pPr>
    </w:p>
    <w:p w:rsidR="00F73644" w:rsidRDefault="00F73644">
      <w:pPr>
        <w:pStyle w:val="Standard"/>
        <w:tabs>
          <w:tab w:val="left" w:pos="7020"/>
        </w:tabs>
        <w:suppressAutoHyphens w:val="0"/>
        <w:spacing w:line="360" w:lineRule="auto"/>
        <w:outlineLvl w:val="0"/>
        <w:rPr>
          <w:b/>
          <w:sz w:val="28"/>
          <w:szCs w:val="28"/>
          <w:lang w:eastAsia="ru-RU"/>
        </w:rPr>
      </w:pPr>
    </w:p>
    <w:p w:rsidR="00F73644" w:rsidRDefault="00F73644">
      <w:pPr>
        <w:pStyle w:val="Standard"/>
        <w:tabs>
          <w:tab w:val="left" w:pos="0"/>
        </w:tabs>
        <w:suppressAutoHyphens w:val="0"/>
        <w:spacing w:line="360" w:lineRule="auto"/>
        <w:jc w:val="both"/>
        <w:outlineLvl w:val="0"/>
        <w:rPr>
          <w:b/>
          <w:sz w:val="28"/>
          <w:szCs w:val="28"/>
          <w:lang w:eastAsia="ru-RU"/>
        </w:rPr>
      </w:pPr>
    </w:p>
    <w:p w:rsidR="00F73644" w:rsidRDefault="00F73644">
      <w:pPr>
        <w:pStyle w:val="Standard"/>
        <w:tabs>
          <w:tab w:val="left" w:pos="7020"/>
        </w:tabs>
        <w:suppressAutoHyphens w:val="0"/>
        <w:spacing w:line="360" w:lineRule="auto"/>
      </w:pPr>
    </w:p>
    <w:sectPr w:rsidR="00F7364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FB" w:rsidRDefault="008A3CFB">
      <w:pPr>
        <w:spacing w:after="0" w:line="240" w:lineRule="auto"/>
      </w:pPr>
      <w:r>
        <w:separator/>
      </w:r>
    </w:p>
  </w:endnote>
  <w:endnote w:type="continuationSeparator" w:id="0">
    <w:p w:rsidR="008A3CFB" w:rsidRDefault="008A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97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FB" w:rsidRDefault="008A3C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3CFB" w:rsidRDefault="008A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098"/>
    <w:multiLevelType w:val="multilevel"/>
    <w:tmpl w:val="D1AAE706"/>
    <w:styleLink w:val="WWNum5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796B4C"/>
    <w:multiLevelType w:val="multilevel"/>
    <w:tmpl w:val="29341A2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F660BD9"/>
    <w:multiLevelType w:val="multilevel"/>
    <w:tmpl w:val="816A59C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C3D133C"/>
    <w:multiLevelType w:val="multilevel"/>
    <w:tmpl w:val="10A2870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BC70A73"/>
    <w:multiLevelType w:val="multilevel"/>
    <w:tmpl w:val="197C0F8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3644"/>
    <w:rsid w:val="007456B2"/>
    <w:rsid w:val="008A3CFB"/>
    <w:rsid w:val="00F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40" w:line="480" w:lineRule="auto"/>
        <w:ind w:firstLine="3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Standard"/>
    <w:next w:val="Textbody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Standard"/>
    <w:next w:val="Textbody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Standard"/>
    <w:next w:val="Textbody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Standard"/>
    <w:next w:val="Textbody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Standard"/>
    <w:next w:val="Textbody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8">
    <w:name w:val="heading 8"/>
    <w:basedOn w:val="Standard"/>
    <w:next w:val="Textbody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Standard"/>
    <w:next w:val="Textbody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1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paragraph" w:styleId="a6">
    <w:name w:val="Subtitle"/>
    <w:basedOn w:val="Standard"/>
    <w:next w:val="Textbody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styleId="a7">
    <w:name w:val="No Spacing"/>
    <w:basedOn w:val="Standard"/>
    <w:pPr>
      <w:spacing w:line="240" w:lineRule="auto"/>
    </w:p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rFonts w:ascii="Calibri" w:hAnsi="Calibri"/>
      <w:color w:val="5A5A5A"/>
    </w:rPr>
  </w:style>
  <w:style w:type="paragraph" w:styleId="a9">
    <w:name w:val="Intense Quote"/>
    <w:basedOn w:val="Standard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paragraph" w:customStyle="1" w:styleId="ContentsHeading">
    <w:name w:val="Contents Heading"/>
    <w:basedOn w:val="1"/>
    <w:pPr>
      <w:suppressLineNumbers/>
    </w:pPr>
    <w:rPr>
      <w:lang w:bidi="en-US"/>
    </w:r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97"/>
      <w:sz w:val="22"/>
      <w:szCs w:val="24"/>
    </w:rPr>
  </w:style>
  <w:style w:type="paragraph" w:styleId="ab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stylet1">
    <w:name w:val="stylet1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3">
    <w:name w:val="stylet3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2">
    <w:name w:val="stylet2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ac">
    <w:name w:val="Абзац_пост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Ioieoiino">
    <w:name w:val="Ioieo_iino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pPr>
      <w:widowControl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widowControl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Standard"/>
    <w:pPr>
      <w:suppressAutoHyphens w:val="0"/>
      <w:spacing w:before="100" w:after="119" w:line="240" w:lineRule="auto"/>
    </w:pPr>
    <w:rPr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f">
    <w:name w:val="Название Знак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f0">
    <w:name w:val="Подзаголовок Знак"/>
    <w:rPr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1">
    <w:name w:val="Emphasis"/>
    <w:rPr>
      <w:b/>
      <w:bCs/>
      <w:i/>
      <w:iCs/>
      <w:color w:val="00000A"/>
    </w:rPr>
  </w:style>
  <w:style w:type="character" w:customStyle="1" w:styleId="22">
    <w:name w:val="Цитата 2 Знак"/>
    <w:rPr>
      <w:rFonts w:ascii="Calibri" w:hAnsi="Calibri"/>
      <w:color w:val="5A5A5A"/>
    </w:rPr>
  </w:style>
  <w:style w:type="character" w:customStyle="1" w:styleId="af2">
    <w:name w:val="Выделенная цитата Знак"/>
    <w:rPr>
      <w:rFonts w:ascii="Cambria" w:eastAsia="Times New Roman" w:hAnsi="Cambria" w:cs="Times New Roman"/>
      <w:i/>
      <w:iCs/>
      <w:sz w:val="20"/>
      <w:szCs w:val="20"/>
    </w:rPr>
  </w:style>
  <w:style w:type="character" w:styleId="af3">
    <w:name w:val="Subtle Emphasis"/>
    <w:rPr>
      <w:i/>
      <w:iCs/>
      <w:color w:val="5A5A5A"/>
    </w:rPr>
  </w:style>
  <w:style w:type="character" w:styleId="af4">
    <w:name w:val="Intense Emphasis"/>
    <w:rPr>
      <w:b/>
      <w:bCs/>
      <w:i/>
      <w:iCs/>
      <w:color w:val="00000A"/>
      <w:u w:val="single"/>
    </w:rPr>
  </w:style>
  <w:style w:type="character" w:styleId="af5">
    <w:name w:val="Subtle Reference"/>
    <w:rPr>
      <w:smallCaps/>
    </w:rPr>
  </w:style>
  <w:style w:type="character" w:styleId="af6">
    <w:name w:val="Intense Reference"/>
    <w:rPr>
      <w:b/>
      <w:bCs/>
      <w:smallCaps/>
      <w:color w:val="00000A"/>
    </w:rPr>
  </w:style>
  <w:style w:type="character" w:styleId="af7">
    <w:name w:val="Book Title"/>
    <w:rPr>
      <w:rFonts w:ascii="Cambria" w:eastAsia="Times New Roman" w:hAnsi="Cambria" w:cs="Times New Roman"/>
      <w:b/>
      <w:bCs/>
      <w:smallCaps/>
      <w:color w:val="00000A"/>
      <w:u w:val="single"/>
    </w:rPr>
  </w:style>
  <w:style w:type="character" w:customStyle="1" w:styleId="af8">
    <w:name w:val="Нижний колонтитул Знак"/>
    <w:basedOn w:val="a0"/>
    <w:rPr>
      <w:rFonts w:ascii="Calibri" w:eastAsia="Times New Roman" w:hAnsi="Calibri" w:cs="font197"/>
      <w:szCs w:val="24"/>
      <w:lang w:eastAsia="ar-SA"/>
    </w:rPr>
  </w:style>
  <w:style w:type="character" w:customStyle="1" w:styleId="af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40" w:line="480" w:lineRule="auto"/>
        <w:ind w:firstLine="3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Standard"/>
    <w:next w:val="Textbody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Standard"/>
    <w:next w:val="Textbody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Standard"/>
    <w:next w:val="Textbody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Standard"/>
    <w:next w:val="Textbody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Standard"/>
    <w:next w:val="Textbody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paragraph" w:styleId="8">
    <w:name w:val="heading 8"/>
    <w:basedOn w:val="Standard"/>
    <w:next w:val="Textbody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Standard"/>
    <w:next w:val="Textbody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100" w:lineRule="atLeast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paragraph" w:styleId="a6">
    <w:name w:val="Subtitle"/>
    <w:basedOn w:val="Standard"/>
    <w:next w:val="Textbody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styleId="a7">
    <w:name w:val="No Spacing"/>
    <w:basedOn w:val="Standard"/>
    <w:pPr>
      <w:spacing w:line="240" w:lineRule="auto"/>
    </w:p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rFonts w:ascii="Calibri" w:hAnsi="Calibri"/>
      <w:color w:val="5A5A5A"/>
    </w:rPr>
  </w:style>
  <w:style w:type="paragraph" w:styleId="a9">
    <w:name w:val="Intense Quote"/>
    <w:basedOn w:val="Standard"/>
    <w:pPr>
      <w:spacing w:before="320" w:after="480" w:line="240" w:lineRule="auto"/>
      <w:ind w:left="720" w:right="720"/>
      <w:jc w:val="center"/>
    </w:pPr>
    <w:rPr>
      <w:rFonts w:ascii="Cambria" w:hAnsi="Cambria"/>
      <w:i/>
      <w:iCs/>
    </w:rPr>
  </w:style>
  <w:style w:type="paragraph" w:customStyle="1" w:styleId="ContentsHeading">
    <w:name w:val="Contents Heading"/>
    <w:basedOn w:val="1"/>
    <w:pPr>
      <w:suppressLineNumbers/>
    </w:pPr>
    <w:rPr>
      <w:lang w:bidi="en-US"/>
    </w:r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97"/>
      <w:sz w:val="22"/>
      <w:szCs w:val="24"/>
    </w:rPr>
  </w:style>
  <w:style w:type="paragraph" w:styleId="ab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stylet1">
    <w:name w:val="stylet1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3">
    <w:name w:val="stylet3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stylet2">
    <w:name w:val="stylet2"/>
    <w:basedOn w:val="Standard"/>
    <w:pPr>
      <w:suppressAutoHyphens w:val="0"/>
      <w:spacing w:before="100" w:after="100" w:line="360" w:lineRule="auto"/>
      <w:ind w:firstLine="709"/>
      <w:jc w:val="both"/>
    </w:pPr>
    <w:rPr>
      <w:sz w:val="24"/>
      <w:szCs w:val="24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60" w:lineRule="auto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ac">
    <w:name w:val="Абзац_пост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Ioieoiino">
    <w:name w:val="Ioieo_iino"/>
    <w:basedOn w:val="Standard"/>
    <w:pPr>
      <w:suppressAutoHyphens w:val="0"/>
      <w:spacing w:before="120" w:line="360" w:lineRule="auto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pPr>
      <w:widowControl/>
      <w:spacing w:after="0"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widowControl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Standard"/>
    <w:pPr>
      <w:suppressAutoHyphens w:val="0"/>
      <w:spacing w:before="100" w:after="119" w:line="240" w:lineRule="auto"/>
    </w:pPr>
    <w:rPr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f">
    <w:name w:val="Название Знак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f0">
    <w:name w:val="Подзаголовок Знак"/>
    <w:rPr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af1">
    <w:name w:val="Emphasis"/>
    <w:rPr>
      <w:b/>
      <w:bCs/>
      <w:i/>
      <w:iCs/>
      <w:color w:val="00000A"/>
    </w:rPr>
  </w:style>
  <w:style w:type="character" w:customStyle="1" w:styleId="22">
    <w:name w:val="Цитата 2 Знак"/>
    <w:rPr>
      <w:rFonts w:ascii="Calibri" w:hAnsi="Calibri"/>
      <w:color w:val="5A5A5A"/>
    </w:rPr>
  </w:style>
  <w:style w:type="character" w:customStyle="1" w:styleId="af2">
    <w:name w:val="Выделенная цитата Знак"/>
    <w:rPr>
      <w:rFonts w:ascii="Cambria" w:eastAsia="Times New Roman" w:hAnsi="Cambria" w:cs="Times New Roman"/>
      <w:i/>
      <w:iCs/>
      <w:sz w:val="20"/>
      <w:szCs w:val="20"/>
    </w:rPr>
  </w:style>
  <w:style w:type="character" w:styleId="af3">
    <w:name w:val="Subtle Emphasis"/>
    <w:rPr>
      <w:i/>
      <w:iCs/>
      <w:color w:val="5A5A5A"/>
    </w:rPr>
  </w:style>
  <w:style w:type="character" w:styleId="af4">
    <w:name w:val="Intense Emphasis"/>
    <w:rPr>
      <w:b/>
      <w:bCs/>
      <w:i/>
      <w:iCs/>
      <w:color w:val="00000A"/>
      <w:u w:val="single"/>
    </w:rPr>
  </w:style>
  <w:style w:type="character" w:styleId="af5">
    <w:name w:val="Subtle Reference"/>
    <w:rPr>
      <w:smallCaps/>
    </w:rPr>
  </w:style>
  <w:style w:type="character" w:styleId="af6">
    <w:name w:val="Intense Reference"/>
    <w:rPr>
      <w:b/>
      <w:bCs/>
      <w:smallCaps/>
      <w:color w:val="00000A"/>
    </w:rPr>
  </w:style>
  <w:style w:type="character" w:styleId="af7">
    <w:name w:val="Book Title"/>
    <w:rPr>
      <w:rFonts w:ascii="Cambria" w:eastAsia="Times New Roman" w:hAnsi="Cambria" w:cs="Times New Roman"/>
      <w:b/>
      <w:bCs/>
      <w:smallCaps/>
      <w:color w:val="00000A"/>
      <w:u w:val="single"/>
    </w:rPr>
  </w:style>
  <w:style w:type="character" w:customStyle="1" w:styleId="af8">
    <w:name w:val="Нижний колонтитул Знак"/>
    <w:basedOn w:val="a0"/>
    <w:rPr>
      <w:rFonts w:ascii="Calibri" w:eastAsia="Times New Roman" w:hAnsi="Calibri" w:cs="font197"/>
      <w:szCs w:val="24"/>
      <w:lang w:eastAsia="ar-SA"/>
    </w:rPr>
  </w:style>
  <w:style w:type="character" w:customStyle="1" w:styleId="af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выноски Знак"/>
    <w:basedOn w:val="a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2019-07-04T08:51:00Z</cp:lastPrinted>
  <dcterms:created xsi:type="dcterms:W3CDTF">2018-11-12T05:37:00Z</dcterms:created>
  <dcterms:modified xsi:type="dcterms:W3CDTF">2019-12-27T10:56:00Z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